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Theme="minorEastAsia" w:hAnsiTheme="minorEastAsia"/>
          <w:b/>
          <w:color w:val="auto"/>
          <w:sz w:val="44"/>
          <w:szCs w:val="44"/>
        </w:rPr>
      </w:pPr>
      <w:bookmarkStart w:id="0" w:name="_Toc322351434"/>
      <w:bookmarkStart w:id="1" w:name="_Toc322105634"/>
      <w:bookmarkStart w:id="2" w:name="_Toc322269942"/>
      <w:bookmarkStart w:id="3" w:name="_Toc322354770"/>
      <w:bookmarkStart w:id="4" w:name="_Toc322354637"/>
      <w:bookmarkStart w:id="5" w:name="_Toc322104515"/>
      <w:r>
        <w:rPr>
          <w:rFonts w:hint="eastAsia" w:asciiTheme="minorEastAsia" w:hAnsiTheme="minorEastAsia"/>
          <w:b/>
          <w:color w:val="auto"/>
          <w:sz w:val="44"/>
          <w:szCs w:val="44"/>
          <w:lang w:val="en-US" w:eastAsia="zh-CN"/>
        </w:rPr>
        <w:t>医</w:t>
      </w:r>
      <w:r>
        <w:rPr>
          <w:rFonts w:hint="eastAsia" w:asciiTheme="minorEastAsia" w:hAnsiTheme="minorEastAsia"/>
          <w:b/>
          <w:color w:val="auto"/>
          <w:sz w:val="44"/>
          <w:szCs w:val="44"/>
        </w:rPr>
        <w:t>学院</w:t>
      </w:r>
      <w:r>
        <w:rPr>
          <w:rFonts w:hint="eastAsia" w:asciiTheme="minorEastAsia" w:hAnsiTheme="minorEastAsia"/>
          <w:b/>
          <w:color w:val="auto"/>
          <w:sz w:val="44"/>
          <w:szCs w:val="44"/>
          <w:lang w:eastAsia="zh-CN"/>
        </w:rPr>
        <w:t>、</w:t>
      </w:r>
      <w:r>
        <w:rPr>
          <w:rFonts w:hint="eastAsia" w:asciiTheme="minorEastAsia" w:hAnsiTheme="minorEastAsia"/>
          <w:b/>
          <w:color w:val="auto"/>
          <w:sz w:val="44"/>
          <w:szCs w:val="44"/>
          <w:lang w:val="en-US" w:eastAsia="zh-CN"/>
        </w:rPr>
        <w:t>公共卫生学院、临床医学院</w:t>
      </w:r>
      <w:r>
        <w:rPr>
          <w:rFonts w:asciiTheme="minorEastAsia" w:hAnsiTheme="minorEastAsia"/>
          <w:b/>
          <w:color w:val="auto"/>
          <w:sz w:val="44"/>
          <w:szCs w:val="44"/>
        </w:rPr>
        <w:t>20</w:t>
      </w:r>
      <w:r>
        <w:rPr>
          <w:rFonts w:hint="eastAsia" w:asciiTheme="minorEastAsia" w:hAnsiTheme="minorEastAsia"/>
          <w:b/>
          <w:color w:val="auto"/>
          <w:sz w:val="44"/>
          <w:szCs w:val="44"/>
        </w:rPr>
        <w:t>2</w:t>
      </w:r>
      <w:r>
        <w:rPr>
          <w:rFonts w:hint="eastAsia" w:asciiTheme="minorEastAsia" w:hAnsiTheme="minorEastAsia"/>
          <w:b/>
          <w:color w:val="auto"/>
          <w:sz w:val="44"/>
          <w:szCs w:val="44"/>
          <w:lang w:val="en-US" w:eastAsia="zh-CN"/>
        </w:rPr>
        <w:t>5</w:t>
      </w:r>
      <w:r>
        <w:rPr>
          <w:rFonts w:hint="eastAsia" w:asciiTheme="minorEastAsia" w:hAnsiTheme="minorEastAsia"/>
          <w:b/>
          <w:color w:val="auto"/>
          <w:sz w:val="44"/>
          <w:szCs w:val="44"/>
        </w:rPr>
        <w:t>-202</w:t>
      </w:r>
      <w:r>
        <w:rPr>
          <w:rFonts w:hint="eastAsia" w:asciiTheme="minorEastAsia" w:hAnsiTheme="minorEastAsia"/>
          <w:b/>
          <w:color w:val="auto"/>
          <w:sz w:val="44"/>
          <w:szCs w:val="44"/>
          <w:lang w:val="en-US" w:eastAsia="zh-CN"/>
        </w:rPr>
        <w:t>6</w:t>
      </w:r>
      <w:r>
        <w:rPr>
          <w:rFonts w:hint="eastAsia" w:asciiTheme="minorEastAsia" w:hAnsiTheme="minorEastAsia"/>
          <w:b/>
          <w:color w:val="auto"/>
          <w:sz w:val="44"/>
          <w:szCs w:val="44"/>
        </w:rPr>
        <w:t>学年第</w:t>
      </w:r>
      <w:r>
        <w:rPr>
          <w:rFonts w:hint="eastAsia" w:asciiTheme="minorEastAsia" w:hAnsiTheme="minorEastAsia"/>
          <w:b/>
          <w:color w:val="auto"/>
          <w:sz w:val="44"/>
          <w:szCs w:val="44"/>
          <w:lang w:eastAsia="zh-CN"/>
        </w:rPr>
        <w:t>二</w:t>
      </w:r>
      <w:r>
        <w:rPr>
          <w:rFonts w:hint="eastAsia" w:asciiTheme="minorEastAsia" w:hAnsiTheme="minorEastAsia"/>
          <w:b/>
          <w:color w:val="auto"/>
          <w:sz w:val="44"/>
          <w:szCs w:val="44"/>
        </w:rPr>
        <w:t>学期本科生转专业工作实施</w:t>
      </w:r>
      <w:bookmarkEnd w:id="0"/>
      <w:bookmarkEnd w:id="1"/>
      <w:bookmarkEnd w:id="2"/>
      <w:bookmarkEnd w:id="3"/>
      <w:bookmarkEnd w:id="4"/>
      <w:bookmarkEnd w:id="5"/>
      <w:r>
        <w:rPr>
          <w:rFonts w:hint="eastAsia" w:asciiTheme="minorEastAsia" w:hAnsiTheme="minorEastAsia"/>
          <w:b/>
          <w:color w:val="auto"/>
          <w:sz w:val="44"/>
          <w:szCs w:val="44"/>
        </w:rPr>
        <w:t>方案</w:t>
      </w:r>
    </w:p>
    <w:p>
      <w:pPr>
        <w:snapToGrid w:val="0"/>
        <w:spacing w:line="312" w:lineRule="auto"/>
        <w:ind w:firstLine="640" w:firstLineChars="200"/>
        <w:rPr>
          <w:rFonts w:hint="eastAsia" w:ascii="仿宋" w:hAnsi="仿宋" w:eastAsia="仿宋"/>
          <w:color w:val="auto"/>
          <w:sz w:val="32"/>
          <w:szCs w:val="32"/>
        </w:rPr>
      </w:pPr>
    </w:p>
    <w:p>
      <w:pPr>
        <w:snapToGrid w:val="0"/>
        <w:spacing w:line="312" w:lineRule="auto"/>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为</w:t>
      </w:r>
      <w:r>
        <w:rPr>
          <w:rFonts w:hint="eastAsia" w:ascii="仿宋" w:hAnsi="仿宋" w:eastAsia="仿宋"/>
          <w:color w:val="auto"/>
          <w:sz w:val="32"/>
          <w:szCs w:val="32"/>
          <w:lang w:val="en-US" w:eastAsia="zh-CN"/>
        </w:rPr>
        <w:t>深入落实“以学生为中心”办学理念和因材施教教学原则，尊重学生个性发展，激发学生学习的主动性与积极性，营造有利于学生成长成才环境，根据《石河子大学普通本专科学生管理规定》（石大校发〔2025〕28号）</w:t>
      </w:r>
      <w:r>
        <w:rPr>
          <w:rFonts w:hint="eastAsia" w:ascii="仿宋" w:hAnsi="仿宋" w:eastAsia="仿宋"/>
          <w:color w:val="auto"/>
          <w:sz w:val="32"/>
          <w:szCs w:val="32"/>
        </w:rPr>
        <w:t>（简称：管理</w:t>
      </w:r>
      <w:r>
        <w:rPr>
          <w:rFonts w:hint="eastAsia" w:ascii="仿宋" w:hAnsi="仿宋" w:eastAsia="仿宋"/>
          <w:color w:val="auto"/>
          <w:sz w:val="32"/>
          <w:szCs w:val="32"/>
          <w:lang w:val="en-US" w:eastAsia="zh-CN"/>
        </w:rPr>
        <w:t>规定</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制订202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学年第</w:t>
      </w:r>
      <w:r>
        <w:rPr>
          <w:rFonts w:hint="eastAsia" w:ascii="仿宋" w:hAnsi="仿宋" w:eastAsia="仿宋"/>
          <w:color w:val="auto"/>
          <w:sz w:val="32"/>
          <w:szCs w:val="32"/>
          <w:lang w:eastAsia="zh-CN"/>
        </w:rPr>
        <w:t>二</w:t>
      </w:r>
      <w:r>
        <w:rPr>
          <w:rFonts w:hint="eastAsia" w:ascii="仿宋" w:hAnsi="仿宋" w:eastAsia="仿宋"/>
          <w:color w:val="auto"/>
          <w:sz w:val="32"/>
          <w:szCs w:val="32"/>
        </w:rPr>
        <w:t>学期本科生转专业工作的实施方案，有关事项通知如下：</w:t>
      </w:r>
    </w:p>
    <w:p>
      <w:pPr>
        <w:numPr>
          <w:ilvl w:val="0"/>
          <w:numId w:val="1"/>
        </w:numPr>
        <w:spacing w:line="560" w:lineRule="exact"/>
        <w:ind w:firstLine="627" w:firstLineChars="196"/>
        <w:rPr>
          <w:rFonts w:hint="eastAsia" w:ascii="黑体" w:hAnsi="黑体" w:eastAsia="黑体"/>
          <w:color w:val="auto"/>
          <w:sz w:val="32"/>
          <w:szCs w:val="32"/>
          <w:lang w:eastAsia="zh-CN"/>
        </w:rPr>
      </w:pPr>
      <w:r>
        <w:rPr>
          <w:rFonts w:hint="eastAsia" w:ascii="黑体" w:hAnsi="黑体" w:eastAsia="黑体"/>
          <w:color w:val="auto"/>
          <w:sz w:val="32"/>
          <w:szCs w:val="32"/>
        </w:rPr>
        <w:t>转</w:t>
      </w:r>
      <w:r>
        <w:rPr>
          <w:rFonts w:hint="eastAsia" w:ascii="黑体" w:hAnsi="黑体" w:eastAsia="黑体"/>
          <w:color w:val="auto"/>
          <w:sz w:val="32"/>
          <w:szCs w:val="32"/>
          <w:lang w:eastAsia="zh-CN"/>
        </w:rPr>
        <w:t>入</w:t>
      </w:r>
    </w:p>
    <w:p>
      <w:pPr>
        <w:numPr>
          <w:ilvl w:val="0"/>
          <w:numId w:val="0"/>
        </w:num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w:t>
      </w:r>
      <w:r>
        <w:rPr>
          <w:rFonts w:hint="eastAsia" w:ascii="黑体" w:hAnsi="黑体" w:eastAsia="黑体"/>
          <w:color w:val="auto"/>
          <w:sz w:val="32"/>
          <w:szCs w:val="32"/>
          <w:lang w:val="en-US" w:eastAsia="zh-CN"/>
        </w:rPr>
        <w:t>一</w:t>
      </w:r>
      <w:r>
        <w:rPr>
          <w:rFonts w:hint="eastAsia" w:ascii="黑体" w:hAnsi="黑体" w:eastAsia="黑体"/>
          <w:color w:val="auto"/>
          <w:sz w:val="32"/>
          <w:szCs w:val="32"/>
          <w:lang w:eastAsia="zh-CN"/>
        </w:rPr>
        <w:t>）</w:t>
      </w:r>
      <w:r>
        <w:rPr>
          <w:rFonts w:hint="eastAsia" w:ascii="黑体" w:hAnsi="黑体" w:eastAsia="黑体"/>
          <w:color w:val="auto"/>
          <w:sz w:val="32"/>
          <w:szCs w:val="32"/>
          <w:lang w:val="en-US" w:eastAsia="zh-CN"/>
        </w:rPr>
        <w:t>转入</w:t>
      </w:r>
      <w:r>
        <w:rPr>
          <w:rFonts w:hint="eastAsia" w:ascii="黑体" w:hAnsi="黑体" w:eastAsia="黑体"/>
          <w:color w:val="auto"/>
          <w:sz w:val="32"/>
          <w:szCs w:val="32"/>
        </w:rPr>
        <w:t>计划数</w:t>
      </w:r>
    </w:p>
    <w:p>
      <w:pPr>
        <w:spacing w:line="560" w:lineRule="exact"/>
        <w:ind w:firstLine="627" w:firstLineChars="196"/>
        <w:rPr>
          <w:rFonts w:hint="eastAsia" w:ascii="仿宋" w:hAnsi="仿宋" w:eastAsia="仿宋"/>
          <w:color w:val="auto"/>
          <w:sz w:val="32"/>
          <w:szCs w:val="32"/>
        </w:rPr>
      </w:pPr>
      <w:r>
        <w:rPr>
          <w:rFonts w:hint="eastAsia" w:ascii="仿宋" w:hAnsi="仿宋" w:eastAsia="仿宋"/>
          <w:color w:val="auto"/>
          <w:sz w:val="32"/>
          <w:szCs w:val="32"/>
        </w:rPr>
        <w:t>根据</w:t>
      </w:r>
      <w:r>
        <w:rPr>
          <w:rFonts w:hint="eastAsia" w:ascii="仿宋" w:hAnsi="仿宋" w:eastAsia="仿宋"/>
          <w:color w:val="auto"/>
          <w:sz w:val="32"/>
          <w:szCs w:val="32"/>
          <w:lang w:val="en-US" w:eastAsia="zh-CN"/>
        </w:rPr>
        <w:t>医学院、公共卫生学院及临床医学院</w:t>
      </w:r>
      <w:r>
        <w:rPr>
          <w:rFonts w:hint="eastAsia" w:ascii="仿宋" w:hAnsi="仿宋" w:eastAsia="仿宋"/>
          <w:color w:val="auto"/>
          <w:sz w:val="32"/>
          <w:szCs w:val="32"/>
        </w:rPr>
        <w:t>的师资力量、学生人数</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实验室条件</w:t>
      </w:r>
      <w:r>
        <w:rPr>
          <w:rFonts w:hint="eastAsia" w:ascii="仿宋" w:hAnsi="仿宋" w:eastAsia="仿宋"/>
          <w:color w:val="auto"/>
          <w:sz w:val="32"/>
          <w:szCs w:val="32"/>
        </w:rPr>
        <w:t>和学科发展等实际情况，经工作小组（领导小组）研究决定，</w:t>
      </w:r>
      <w:r>
        <w:rPr>
          <w:rFonts w:hint="eastAsia" w:ascii="仿宋" w:hAnsi="仿宋" w:eastAsia="仿宋"/>
          <w:color w:val="auto"/>
          <w:sz w:val="32"/>
          <w:szCs w:val="32"/>
          <w:lang w:val="en-US" w:eastAsia="zh-CN"/>
        </w:rPr>
        <w:t>2025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2026</w:t>
      </w:r>
      <w:r>
        <w:rPr>
          <w:rFonts w:hint="eastAsia" w:ascii="仿宋" w:hAnsi="仿宋" w:eastAsia="仿宋"/>
          <w:color w:val="auto"/>
          <w:sz w:val="32"/>
          <w:szCs w:val="32"/>
        </w:rPr>
        <w:t>学年第</w:t>
      </w:r>
      <w:r>
        <w:rPr>
          <w:rFonts w:hint="eastAsia" w:ascii="仿宋" w:hAnsi="仿宋" w:eastAsia="仿宋"/>
          <w:color w:val="auto"/>
          <w:sz w:val="32"/>
          <w:szCs w:val="32"/>
          <w:lang w:val="en-US" w:eastAsia="zh-CN"/>
        </w:rPr>
        <w:t>二</w:t>
      </w:r>
      <w:r>
        <w:rPr>
          <w:rFonts w:hint="eastAsia" w:ascii="仿宋" w:hAnsi="仿宋" w:eastAsia="仿宋"/>
          <w:color w:val="auto"/>
          <w:sz w:val="32"/>
          <w:szCs w:val="32"/>
        </w:rPr>
        <w:t>学期转专业转入计划人数上限（详见</w:t>
      </w:r>
      <w:r>
        <w:rPr>
          <w:rFonts w:hint="eastAsia" w:ascii="仿宋" w:hAnsi="仿宋" w:eastAsia="仿宋"/>
          <w:color w:val="auto"/>
          <w:sz w:val="32"/>
          <w:szCs w:val="32"/>
          <w:lang w:val="en-US" w:eastAsia="zh-CN"/>
        </w:rPr>
        <w:t>下</w:t>
      </w:r>
      <w:r>
        <w:rPr>
          <w:rFonts w:hint="eastAsia" w:ascii="仿宋" w:hAnsi="仿宋" w:eastAsia="仿宋"/>
          <w:color w:val="auto"/>
          <w:sz w:val="32"/>
          <w:szCs w:val="32"/>
        </w:rPr>
        <w:t>表）。</w:t>
      </w:r>
    </w:p>
    <w:p>
      <w:pPr>
        <w:shd w:val="clear"/>
        <w:spacing w:line="560" w:lineRule="exact"/>
        <w:jc w:val="center"/>
        <w:rPr>
          <w:rFonts w:hint="default" w:ascii="仿宋" w:hAnsi="仿宋" w:eastAsia="仿宋"/>
          <w:color w:val="auto"/>
          <w:sz w:val="32"/>
          <w:szCs w:val="32"/>
          <w:highlight w:val="none"/>
          <w:lang w:val="en-US"/>
        </w:rPr>
      </w:pPr>
      <w:r>
        <w:rPr>
          <w:rFonts w:hint="eastAsia" w:ascii="方正仿宋_GB2312" w:hAnsi="方正仿宋_GB2312" w:eastAsia="方正仿宋_GB2312" w:cs="方正仿宋_GB2312"/>
          <w:b w:val="0"/>
          <w:bCs/>
          <w:i w:val="0"/>
          <w:color w:val="auto"/>
          <w:kern w:val="0"/>
          <w:sz w:val="24"/>
          <w:szCs w:val="24"/>
          <w:highlight w:val="none"/>
          <w:u w:val="none"/>
          <w:lang w:val="en-US" w:eastAsia="zh-CN" w:bidi="ar"/>
        </w:rPr>
        <w:t>2025-2026学年第二学期学院拟接收学生计划人数</w:t>
      </w:r>
    </w:p>
    <w:tbl>
      <w:tblPr>
        <w:tblStyle w:val="10"/>
        <w:tblW w:w="90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
        <w:gridCol w:w="1258"/>
        <w:gridCol w:w="1496"/>
        <w:gridCol w:w="494"/>
        <w:gridCol w:w="655"/>
        <w:gridCol w:w="883"/>
        <w:gridCol w:w="1507"/>
        <w:gridCol w:w="1793"/>
        <w:gridCol w:w="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序号</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lang w:eastAsia="zh-CN"/>
              </w:rPr>
            </w:pPr>
            <w:r>
              <w:rPr>
                <w:rFonts w:hint="eastAsia" w:ascii="仿宋" w:hAnsi="仿宋" w:eastAsia="仿宋"/>
                <w:b/>
                <w:color w:val="auto"/>
                <w:sz w:val="21"/>
                <w:szCs w:val="21"/>
                <w:lang w:eastAsia="zh-CN"/>
              </w:rPr>
              <w:t>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lang w:eastAsia="zh-CN"/>
              </w:rPr>
            </w:pPr>
            <w:r>
              <w:rPr>
                <w:rFonts w:hint="eastAsia" w:ascii="仿宋" w:hAnsi="仿宋" w:eastAsia="仿宋"/>
                <w:b/>
                <w:color w:val="auto"/>
                <w:sz w:val="21"/>
                <w:szCs w:val="21"/>
              </w:rPr>
              <w:t>专业</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学制</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接收学生名额</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联系人</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联系电话</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地址</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lang w:eastAsia="zh-CN"/>
              </w:rPr>
            </w:pPr>
            <w:r>
              <w:rPr>
                <w:rFonts w:hint="eastAsia" w:ascii="仿宋" w:hAnsi="仿宋" w:eastAsia="仿宋"/>
                <w:b/>
                <w:color w:val="auto"/>
                <w:sz w:val="21"/>
                <w:szCs w:val="21"/>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b/>
                <w:color w:val="auto"/>
                <w:sz w:val="21"/>
                <w:szCs w:val="21"/>
              </w:rPr>
            </w:pPr>
            <w:r>
              <w:rPr>
                <w:rFonts w:hint="eastAsia" w:ascii="仿宋_GB2312" w:hAnsi="仿宋_GB2312" w:eastAsia="仿宋_GB2312" w:cs="仿宋_GB2312"/>
                <w:b/>
                <w:bCs/>
                <w:color w:val="auto"/>
                <w:kern w:val="0"/>
                <w:sz w:val="21"/>
                <w:szCs w:val="21"/>
              </w:rPr>
              <w:t>1</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基础医学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olor w:val="auto"/>
                <w:sz w:val="21"/>
                <w:szCs w:val="21"/>
              </w:rPr>
            </w:pPr>
            <w:r>
              <w:rPr>
                <w:rFonts w:hint="eastAsia" w:ascii="仿宋_GB2312" w:hAnsi="仿宋_GB2312" w:eastAsia="仿宋_GB2312"/>
                <w:color w:val="auto"/>
                <w:sz w:val="21"/>
                <w:szCs w:val="21"/>
                <w:lang w:val="en-US" w:eastAsia="zh-CN"/>
              </w:rPr>
              <w:t>5</w:t>
            </w:r>
            <w:r>
              <w:rPr>
                <w:rFonts w:hint="eastAsia" w:ascii="仿宋_GB2312" w:hAnsi="仿宋_GB2312" w:eastAsia="仿宋_GB2312"/>
                <w:color w:val="auto"/>
                <w:sz w:val="21"/>
                <w:szCs w:val="21"/>
              </w:rPr>
              <w:t>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2</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default"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default"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3"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bidi="ar-SA"/>
              </w:rPr>
            </w:pPr>
            <w:r>
              <w:rPr>
                <w:rFonts w:hint="eastAsia" w:ascii="仿宋_GB2312" w:hAnsi="仿宋_GB2312" w:eastAsia="仿宋_GB2312" w:cs="仿宋_GB2312"/>
                <w:b/>
                <w:bCs/>
                <w:color w:val="auto"/>
                <w:kern w:val="0"/>
                <w:sz w:val="21"/>
                <w:szCs w:val="21"/>
              </w:rPr>
              <w:t>2</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中医学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2</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bidi="ar-SA"/>
              </w:rPr>
            </w:pPr>
            <w:r>
              <w:rPr>
                <w:rFonts w:hint="eastAsia" w:ascii="仿宋_GB2312" w:hAnsi="仿宋_GB2312" w:eastAsia="仿宋_GB2312" w:cs="仿宋_GB2312"/>
                <w:b/>
                <w:bCs/>
                <w:color w:val="auto"/>
                <w:kern w:val="0"/>
                <w:sz w:val="21"/>
                <w:szCs w:val="21"/>
              </w:rPr>
              <w:t>3</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护理学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4</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公共卫生学院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预防医学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5</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临床医学院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临床医学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16</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6</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临床医学院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医学影像学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7</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临床医学院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口腔医学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2</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8</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临床医学院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康复治疗学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9</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临床医学院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医学检验技术</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2</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bl>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备注：各专业拟定接收名额不能调剂互换。</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200" w:right="0" w:rightChars="0"/>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（二）所需申请材料</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申请转专业的学生可以填报一个或两个专业志愿，</w:t>
      </w:r>
      <w:r>
        <w:rPr>
          <w:rFonts w:hint="eastAsia" w:ascii="仿宋" w:hAnsi="仿宋" w:eastAsia="仿宋" w:cs="仿宋"/>
          <w:color w:val="auto"/>
          <w:sz w:val="30"/>
          <w:szCs w:val="30"/>
          <w:lang w:eastAsia="zh-CN"/>
        </w:rPr>
        <w:t>如均通过考核，按志愿顺序录取</w:t>
      </w:r>
      <w:r>
        <w:rPr>
          <w:rFonts w:hint="eastAsia" w:ascii="仿宋" w:hAnsi="仿宋" w:eastAsia="仿宋" w:cs="仿宋"/>
          <w:i w:val="0"/>
          <w:iCs w:val="0"/>
          <w:caps w:val="0"/>
          <w:color w:val="auto"/>
          <w:spacing w:val="0"/>
          <w:kern w:val="0"/>
          <w:sz w:val="32"/>
          <w:szCs w:val="32"/>
          <w:highlight w:val="none"/>
          <w:shd w:val="clear" w:fill="FFFFFF"/>
          <w:lang w:val="en-US" w:eastAsia="zh-CN" w:bidi="ar"/>
        </w:rPr>
        <w:t>。2026年3月3日（周二）</w:t>
      </w:r>
      <w:r>
        <w:rPr>
          <w:rFonts w:hint="default" w:ascii="Times New Roman" w:hAnsi="Times New Roman" w:eastAsia="仿宋" w:cs="Times New Roman"/>
          <w:i w:val="0"/>
          <w:iCs w:val="0"/>
          <w:caps w:val="0"/>
          <w:color w:val="auto"/>
          <w:spacing w:val="0"/>
          <w:kern w:val="0"/>
          <w:sz w:val="32"/>
          <w:szCs w:val="32"/>
          <w:highlight w:val="none"/>
          <w:shd w:val="clear" w:fill="FFFFFF"/>
          <w:lang w:val="en-US" w:eastAsia="zh-CN" w:bidi="ar"/>
        </w:rPr>
        <w:t>19</w:t>
      </w:r>
      <w:r>
        <w:rPr>
          <w:rFonts w:hint="eastAsia" w:ascii="Times New Roman" w:hAnsi="Times New Roman" w:eastAsia="仿宋" w:cs="Times New Roman"/>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shd w:val="clear" w:fill="FFFFFF"/>
          <w:lang w:val="en-US" w:eastAsia="zh-CN" w:bidi="ar"/>
        </w:rPr>
        <w:t>00</w:t>
      </w:r>
      <w:r>
        <w:rPr>
          <w:rFonts w:hint="eastAsia" w:ascii="仿宋" w:hAnsi="仿宋" w:eastAsia="仿宋" w:cs="仿宋"/>
          <w:i w:val="0"/>
          <w:iCs w:val="0"/>
          <w:caps w:val="0"/>
          <w:color w:val="auto"/>
          <w:spacing w:val="0"/>
          <w:kern w:val="0"/>
          <w:sz w:val="32"/>
          <w:szCs w:val="32"/>
          <w:highlight w:val="none"/>
          <w:shd w:val="clear" w:fill="FFFFFF"/>
          <w:lang w:val="en-US" w:eastAsia="zh-CN" w:bidi="ar"/>
        </w:rPr>
        <w:t>前将以下材料用档案袋按顺序封装后提交。</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1.个人材料清单目录（贴于个人档案袋封面）。</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2.所在学院教办出具的入学以来原始成绩单</w:t>
      </w:r>
      <w:bookmarkStart w:id="6" w:name="OLE_LINK5"/>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（盖教办章）</w:t>
      </w:r>
      <w:bookmarkEnd w:id="6"/>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3.平均学分成绩</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班级排名表</w:t>
      </w:r>
      <w:r>
        <w:rPr>
          <w:rFonts w:hint="eastAsia" w:ascii="仿宋" w:hAnsi="仿宋" w:eastAsia="仿宋" w:cs="仿宋"/>
          <w:i w:val="0"/>
          <w:iCs w:val="0"/>
          <w:caps w:val="0"/>
          <w:color w:val="auto"/>
          <w:spacing w:val="0"/>
          <w:kern w:val="0"/>
          <w:sz w:val="32"/>
          <w:szCs w:val="32"/>
          <w:highlight w:val="none"/>
          <w:shd w:val="clear" w:fill="FFFFFF"/>
          <w:lang w:val="en-US" w:eastAsia="zh-CN" w:bidi="ar"/>
        </w:rPr>
        <w:t>（不含通选课）</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（盖教办章）。</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4.个人申请书，详细说明个人对预转专业的认识、自身优势或潜力、本人转专业原因及学业规划等。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5.个人简历。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6.个人综合素质专项成绩认定评分表。</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7.其他：所在学院学办出具的在校表现及无违纪证明</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（盖学办章）</w:t>
      </w:r>
      <w:r>
        <w:rPr>
          <w:rFonts w:hint="eastAsia" w:ascii="仿宋" w:hAnsi="仿宋" w:eastAsia="仿宋" w:cs="仿宋"/>
          <w:i w:val="0"/>
          <w:iCs w:val="0"/>
          <w:caps w:val="0"/>
          <w:color w:val="auto"/>
          <w:spacing w:val="0"/>
          <w:kern w:val="0"/>
          <w:sz w:val="32"/>
          <w:szCs w:val="32"/>
          <w:highlight w:val="none"/>
          <w:shd w:val="clear" w:fill="FFFFFF"/>
          <w:lang w:val="en-US" w:eastAsia="zh-CN" w:bidi="ar"/>
        </w:rPr>
        <w:t>、大学生英语四/六级成绩单（或雅思、托福、PETS成绩单等）、入校以来所获得的各级各类奖励、荣誉和研究成果证明材料等。</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以上材料按顺序合并扫描在一个PDF文档内，以“姓名+拟报专业”或“姓名+拟报专业1+拟报专业2”命名后发送至邮箱：</w:t>
      </w:r>
      <w:r>
        <w:rPr>
          <w:rFonts w:hint="eastAsia" w:ascii="仿宋" w:hAnsi="仿宋" w:eastAsia="仿宋" w:cs="仿宋"/>
          <w:i w:val="0"/>
          <w:iCs w:val="0"/>
          <w:caps w:val="0"/>
          <w:color w:val="auto"/>
          <w:spacing w:val="0"/>
          <w:kern w:val="0"/>
          <w:sz w:val="32"/>
          <w:szCs w:val="32"/>
          <w:highlight w:val="none"/>
          <w:shd w:val="clear" w:fill="FFFFFF"/>
          <w:lang w:val="en-US" w:eastAsia="zh-CN" w:bidi="ar"/>
        </w:rPr>
        <w:fldChar w:fldCharType="begin"/>
      </w:r>
      <w:r>
        <w:rPr>
          <w:rFonts w:hint="eastAsia" w:ascii="仿宋" w:hAnsi="仿宋" w:eastAsia="仿宋" w:cs="仿宋"/>
          <w:i w:val="0"/>
          <w:iCs w:val="0"/>
          <w:caps w:val="0"/>
          <w:color w:val="auto"/>
          <w:spacing w:val="0"/>
          <w:kern w:val="0"/>
          <w:sz w:val="32"/>
          <w:szCs w:val="32"/>
          <w:highlight w:val="none"/>
          <w:shd w:val="clear" w:fill="FFFFFF"/>
          <w:lang w:val="en-US" w:eastAsia="zh-CN" w:bidi="ar"/>
        </w:rPr>
        <w:instrText xml:space="preserve"> HYPERLINK "mailto:583927051@qq.com" </w:instrText>
      </w:r>
      <w:r>
        <w:rPr>
          <w:rFonts w:hint="eastAsia" w:ascii="仿宋" w:hAnsi="仿宋" w:eastAsia="仿宋" w:cs="仿宋"/>
          <w:i w:val="0"/>
          <w:iCs w:val="0"/>
          <w:caps w:val="0"/>
          <w:color w:val="auto"/>
          <w:spacing w:val="0"/>
          <w:kern w:val="0"/>
          <w:sz w:val="32"/>
          <w:szCs w:val="32"/>
          <w:highlight w:val="none"/>
          <w:shd w:val="clear" w:fill="FFFFFF"/>
          <w:lang w:val="en-US" w:eastAsia="zh-CN" w:bidi="ar"/>
        </w:rPr>
        <w:fldChar w:fldCharType="separate"/>
      </w:r>
      <w:r>
        <w:rPr>
          <w:rStyle w:val="9"/>
          <w:rFonts w:hint="eastAsia" w:ascii="仿宋" w:hAnsi="仿宋" w:eastAsia="仿宋" w:cs="仿宋"/>
          <w:i w:val="0"/>
          <w:iCs w:val="0"/>
          <w:caps w:val="0"/>
          <w:color w:val="auto"/>
          <w:spacing w:val="0"/>
          <w:kern w:val="0"/>
          <w:sz w:val="32"/>
          <w:szCs w:val="32"/>
          <w:highlight w:val="none"/>
          <w:shd w:val="clear" w:fill="FFFFFF"/>
          <w:lang w:val="en-US" w:eastAsia="zh-CN" w:bidi="ar"/>
        </w:rPr>
        <w:t>583927051@qq.com</w:t>
      </w:r>
      <w:r>
        <w:rPr>
          <w:rFonts w:hint="eastAsia" w:ascii="仿宋" w:hAnsi="仿宋" w:eastAsia="仿宋" w:cs="仿宋"/>
          <w:i w:val="0"/>
          <w:iCs w:val="0"/>
          <w:caps w:val="0"/>
          <w:color w:val="auto"/>
          <w:spacing w:val="0"/>
          <w:kern w:val="0"/>
          <w:sz w:val="32"/>
          <w:szCs w:val="32"/>
          <w:highlight w:val="none"/>
          <w:shd w:val="clear" w:fill="FFFFFF"/>
          <w:lang w:val="en-US" w:eastAsia="zh-CN" w:bidi="ar"/>
        </w:rPr>
        <w:fldChar w:fldCharType="end"/>
      </w:r>
      <w:r>
        <w:rPr>
          <w:rFonts w:hint="eastAsia" w:ascii="仿宋" w:hAnsi="仿宋" w:eastAsia="仿宋" w:cs="仿宋"/>
          <w:i w:val="0"/>
          <w:iCs w:val="0"/>
          <w:caps w:val="0"/>
          <w:color w:val="auto"/>
          <w:spacing w:val="0"/>
          <w:kern w:val="0"/>
          <w:sz w:val="32"/>
          <w:szCs w:val="32"/>
          <w:highlight w:val="none"/>
          <w:shd w:val="clear" w:fill="FFFFFF"/>
          <w:lang w:val="en-US" w:eastAsia="zh-CN" w:bidi="ar"/>
        </w:rPr>
        <w:t>。纸质版材料档案袋提交至南区医学院杏5楼-219室王老师处</w:t>
      </w:r>
      <w:r>
        <w:rPr>
          <w:rFonts w:hint="eastAsia" w:ascii="仿宋" w:hAnsi="仿宋" w:eastAsia="仿宋"/>
          <w:color w:val="auto"/>
          <w:sz w:val="32"/>
          <w:szCs w:val="32"/>
          <w:highlight w:val="none"/>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516"/>
        <w:jc w:val="left"/>
        <w:textAlignment w:val="auto"/>
        <w:rPr>
          <w:rFonts w:hint="default" w:ascii="Arial" w:hAnsi="Arial" w:cs="Arial"/>
          <w:i w:val="0"/>
          <w:iCs w:val="0"/>
          <w:caps w:val="0"/>
          <w:color w:val="auto"/>
          <w:spacing w:val="0"/>
          <w:sz w:val="32"/>
          <w:szCs w:val="32"/>
          <w:highlight w:val="none"/>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（三）资格审核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相近专业可申请同年级转入，跨度较大的专业需降级转入（含退伍复学的学生），且必须符合以下基本要求：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default" w:ascii="仿宋" w:hAnsi="仿宋" w:eastAsia="仿宋" w:cs="仿宋"/>
          <w:i w:val="0"/>
          <w:iCs w:val="0"/>
          <w:caps w:val="0"/>
          <w:color w:val="auto"/>
          <w:spacing w:val="0"/>
          <w:kern w:val="0"/>
          <w:sz w:val="32"/>
          <w:szCs w:val="32"/>
          <w:highlight w:val="none"/>
          <w:shd w:val="clear" w:fill="FFFFFF"/>
          <w:lang w:val="en-US" w:eastAsia="zh-CN" w:bidi="ar"/>
        </w:rPr>
        <w:t>1</w:t>
      </w:r>
      <w:r>
        <w:rPr>
          <w:rFonts w:hint="eastAsia" w:ascii="仿宋" w:hAnsi="仿宋" w:eastAsia="仿宋" w:cs="仿宋"/>
          <w:i w:val="0"/>
          <w:iCs w:val="0"/>
          <w:caps w:val="0"/>
          <w:color w:val="auto"/>
          <w:spacing w:val="0"/>
          <w:kern w:val="0"/>
          <w:sz w:val="32"/>
          <w:szCs w:val="32"/>
          <w:highlight w:val="none"/>
          <w:shd w:val="clear" w:fill="FFFFFF"/>
          <w:lang w:val="en-US" w:eastAsia="zh-CN" w:bidi="ar"/>
        </w:rPr>
        <w:t>.具有本校学籍的全日制普通本科在校生，遵守学校各项规章制度，思想品行端正，无违反校规校纪行为者。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bookmarkStart w:id="7" w:name="OLE_LINK4"/>
      <w:r>
        <w:rPr>
          <w:rFonts w:hint="default" w:ascii="仿宋" w:hAnsi="仿宋" w:eastAsia="仿宋" w:cs="仿宋"/>
          <w:i w:val="0"/>
          <w:iCs w:val="0"/>
          <w:caps w:val="0"/>
          <w:color w:val="auto"/>
          <w:spacing w:val="0"/>
          <w:kern w:val="0"/>
          <w:sz w:val="32"/>
          <w:szCs w:val="32"/>
          <w:highlight w:val="none"/>
          <w:shd w:val="clear" w:fill="FFFFFF"/>
          <w:lang w:val="en-US" w:eastAsia="zh-CN" w:bidi="ar"/>
        </w:rPr>
        <w:t>2</w:t>
      </w:r>
      <w:r>
        <w:rPr>
          <w:rFonts w:hint="eastAsia" w:ascii="仿宋" w:hAnsi="仿宋" w:eastAsia="仿宋" w:cs="仿宋"/>
          <w:i w:val="0"/>
          <w:iCs w:val="0"/>
          <w:caps w:val="0"/>
          <w:color w:val="auto"/>
          <w:spacing w:val="0"/>
          <w:kern w:val="0"/>
          <w:sz w:val="32"/>
          <w:szCs w:val="32"/>
          <w:highlight w:val="none"/>
          <w:shd w:val="clear" w:fill="FFFFFF"/>
          <w:lang w:val="en-US" w:eastAsia="zh-CN" w:bidi="ar"/>
        </w:rPr>
        <w:t>.</w:t>
      </w:r>
      <w:bookmarkEnd w:id="7"/>
      <w:r>
        <w:rPr>
          <w:rFonts w:hint="eastAsia" w:ascii="仿宋" w:hAnsi="仿宋" w:eastAsia="仿宋" w:cs="仿宋"/>
          <w:i w:val="0"/>
          <w:iCs w:val="0"/>
          <w:caps w:val="0"/>
          <w:color w:val="auto"/>
          <w:spacing w:val="0"/>
          <w:kern w:val="0"/>
          <w:sz w:val="32"/>
          <w:szCs w:val="32"/>
          <w:highlight w:val="none"/>
          <w:shd w:val="clear" w:fill="FFFFFF"/>
          <w:lang w:val="en-US" w:eastAsia="zh-CN" w:bidi="ar"/>
        </w:rPr>
        <w:t>符合当年招生对该专业的身体健康规定条件。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3.无学校规定的各类不允许转专业的情况。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4.学生在校期间转过1次专业者，不再允许申请转入。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5.申请转入的学生可同时申报两个专业，但必须明确申报顺序。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504"/>
        <w:jc w:val="left"/>
        <w:textAlignment w:val="auto"/>
        <w:rPr>
          <w:rFonts w:hint="default" w:ascii="Arial" w:hAnsi="Arial" w:cs="Arial"/>
          <w:i w:val="0"/>
          <w:iCs w:val="0"/>
          <w:caps w:val="0"/>
          <w:color w:val="auto"/>
          <w:spacing w:val="0"/>
          <w:sz w:val="32"/>
          <w:szCs w:val="32"/>
          <w:highlight w:val="none"/>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（四）笔试考核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申报临床医学和口腔医学专业的学生需参加笔试考核，满分100分。申报其他专业的可直接进入复试考核环节。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1.考试内容及时间：大学英语（日语），满分50分；高等数学，满分50分。考试时间：2026年3月5日（周四）20:00-22:30，具体考试地点另行通知。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lang w:val="en-US"/>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2.录取人数在3人及以下的，按照笔试成绩高低顺序以1∶2人数比例推荐进入面试考核；录取人数在10人以上的，按照笔试成绩高低顺序以1∶1.3的比例推荐进入面试。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504"/>
        <w:jc w:val="left"/>
        <w:textAlignment w:val="auto"/>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（五）复试考核</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复试考核分为个人综合素质专项成绩认定和面试考核两部分共同组成，</w:t>
      </w:r>
      <w:r>
        <w:rPr>
          <w:rFonts w:hint="eastAsia" w:ascii="仿宋" w:hAnsi="仿宋" w:eastAsia="仿宋" w:cs="仿宋"/>
          <w:i w:val="0"/>
          <w:iCs w:val="0"/>
          <w:caps w:val="0"/>
          <w:color w:val="auto"/>
          <w:spacing w:val="0"/>
          <w:kern w:val="0"/>
          <w:sz w:val="32"/>
          <w:szCs w:val="32"/>
          <w:highlight w:val="none"/>
          <w:shd w:val="clear" w:fill="FFFFFF"/>
          <w:lang w:val="en-US" w:eastAsia="zh-CN" w:bidi="ar"/>
        </w:rPr>
        <w:t>满分100分</w:t>
      </w:r>
      <w:r>
        <w:rPr>
          <w:rFonts w:hint="eastAsia" w:ascii="仿宋" w:hAnsi="仿宋" w:eastAsia="仿宋"/>
          <w:color w:val="auto"/>
          <w:sz w:val="32"/>
          <w:szCs w:val="32"/>
          <w:highlight w:val="none"/>
          <w:lang w:val="en-US" w:eastAsia="zh-CN"/>
        </w:rPr>
        <w:t>。</w:t>
      </w:r>
    </w:p>
    <w:p>
      <w:pPr>
        <w:widowControl w:val="0"/>
        <w:numPr>
          <w:ilvl w:val="0"/>
          <w:numId w:val="0"/>
        </w:numPr>
        <w:shd w:val="clear"/>
        <w:spacing w:line="560" w:lineRule="exact"/>
        <w:ind w:firstLine="640" w:firstLineChars="200"/>
        <w:jc w:val="both"/>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w:t>
      </w:r>
      <w:bookmarkStart w:id="8" w:name="OLE_LINK7"/>
      <w:r>
        <w:rPr>
          <w:rFonts w:hint="eastAsia" w:ascii="仿宋" w:hAnsi="仿宋" w:eastAsia="仿宋"/>
          <w:color w:val="auto"/>
          <w:sz w:val="32"/>
          <w:szCs w:val="32"/>
          <w:highlight w:val="none"/>
          <w:lang w:val="en-US" w:eastAsia="zh-CN"/>
        </w:rPr>
        <w:t>个人综合素质专项成绩认定</w:t>
      </w:r>
      <w:bookmarkEnd w:id="8"/>
      <w:r>
        <w:rPr>
          <w:rFonts w:hint="eastAsia" w:ascii="仿宋" w:hAnsi="仿宋" w:eastAsia="仿宋"/>
          <w:color w:val="auto"/>
          <w:sz w:val="32"/>
          <w:szCs w:val="32"/>
          <w:highlight w:val="none"/>
          <w:lang w:val="en-US" w:eastAsia="zh-CN"/>
        </w:rPr>
        <w:t>占复试成绩的40%。（具体内容见附件3）</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rightChars="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olor w:val="auto"/>
          <w:sz w:val="32"/>
          <w:szCs w:val="32"/>
          <w:highlight w:val="none"/>
          <w:lang w:val="en-US" w:eastAsia="zh-CN"/>
        </w:rPr>
        <w:t>2.面试成绩占复试成绩的60%。2026年</w:t>
      </w:r>
      <w:r>
        <w:rPr>
          <w:rFonts w:hint="eastAsia" w:ascii="仿宋" w:hAnsi="仿宋" w:eastAsia="仿宋" w:cs="仿宋"/>
          <w:i w:val="0"/>
          <w:iCs w:val="0"/>
          <w:caps w:val="0"/>
          <w:color w:val="auto"/>
          <w:spacing w:val="0"/>
          <w:kern w:val="0"/>
          <w:sz w:val="32"/>
          <w:szCs w:val="32"/>
          <w:highlight w:val="none"/>
          <w:shd w:val="clear" w:fill="FFFFFF"/>
          <w:lang w:val="en-US" w:eastAsia="zh-CN" w:bidi="ar"/>
        </w:rPr>
        <w:t>3月8日（周日）分组</w:t>
      </w:r>
      <w:r>
        <w:rPr>
          <w:rFonts w:hint="eastAsia" w:ascii="仿宋" w:hAnsi="仿宋" w:eastAsia="仿宋"/>
          <w:color w:val="auto"/>
          <w:sz w:val="32"/>
          <w:szCs w:val="32"/>
          <w:highlight w:val="none"/>
          <w:lang w:val="en-US" w:eastAsia="zh-CN"/>
        </w:rPr>
        <w:t>对学生思想政治素质、沟通能力、学习能力、专业特长、专业学习与发展潜力等方面进行线下面试考察。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Style w:val="8"/>
          <w:rFonts w:hint="default" w:ascii="楷体" w:hAnsi="楷体" w:eastAsia="楷体" w:cs="楷体"/>
          <w:b/>
          <w:bCs/>
          <w:i w:val="0"/>
          <w:iCs w:val="0"/>
          <w:caps w:val="0"/>
          <w:color w:val="auto"/>
          <w:spacing w:val="0"/>
          <w:kern w:val="0"/>
          <w:sz w:val="32"/>
          <w:szCs w:val="32"/>
          <w:highlight w:val="none"/>
          <w:shd w:val="clear" w:fill="FFFFFF"/>
          <w:lang w:val="en-US" w:eastAsia="zh-CN" w:bidi="ar"/>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（六）成绩构成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1.临床医学专业、口腔医学专业学生成绩构成：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个人总成绩（满分100分）=初试成绩*0.3+复试成绩*0.7。</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rightChars="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2.其余各专业学生个人总成绩只计算复试成绩。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（七）录取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原则上同时报考我院两个专业的，如考核时间冲突，优先安排第一志愿专业的考核与录取。如系学生本人自愿放弃第一志愿考核或录取的，需提供确认书。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Fonts w:hint="default" w:ascii="Arial" w:hAnsi="Arial" w:cs="Arial"/>
          <w:i w:val="0"/>
          <w:iCs w:val="0"/>
          <w:caps w:val="0"/>
          <w:color w:val="auto"/>
          <w:spacing w:val="0"/>
          <w:sz w:val="32"/>
          <w:szCs w:val="32"/>
          <w:highlight w:val="none"/>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（八）公示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1.审批通过的拟接收转专业学生名单在学院公示栏及学院官网进行公示，公示时间为3个工作日。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2.公示期间，如有学生临时提出放弃拟转入资格，则按照个人总成绩高低顺序依次递补，不再另召开专门会议研讨。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3.公示期间无异议，公示期结束后将拟接收转专业学生名单及相关材料报教务处。</w:t>
      </w:r>
    </w:p>
    <w:p>
      <w:pPr>
        <w:keepNext w:val="0"/>
        <w:keepLines w:val="0"/>
        <w:pageBreakBefore w:val="0"/>
        <w:widowControl w:val="0"/>
        <w:numPr>
          <w:ilvl w:val="0"/>
          <w:numId w:val="0"/>
        </w:numPr>
        <w:shd w:val="clear"/>
        <w:wordWrap/>
        <w:overflowPunct/>
        <w:topLinePunct w:val="0"/>
        <w:bidi w:val="0"/>
        <w:adjustRightInd w:val="0"/>
        <w:spacing w:line="560" w:lineRule="exact"/>
        <w:ind w:left="0" w:right="0" w:firstLine="640" w:firstLineChars="20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二、转出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Style w:val="8"/>
          <w:rFonts w:hint="default" w:ascii="楷体" w:hAnsi="楷体" w:eastAsia="楷体" w:cs="楷体"/>
          <w:b/>
          <w:bCs/>
          <w:i w:val="0"/>
          <w:iCs w:val="0"/>
          <w:caps w:val="0"/>
          <w:color w:val="auto"/>
          <w:spacing w:val="0"/>
          <w:kern w:val="0"/>
          <w:sz w:val="32"/>
          <w:szCs w:val="32"/>
          <w:highlight w:val="none"/>
          <w:shd w:val="clear" w:fill="FFFFFF"/>
          <w:lang w:val="en-US" w:eastAsia="zh-CN" w:bidi="ar"/>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（一）转出计划数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根据学生转出意愿，按学校规定流程逐级审批。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（二）资格审核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申请转出学生需在每学期开学第0周，按照转专业工作审批流程，递交转出申请、家长知情同意书、转出审批表报辅导员汇总审核，并集中报专业负责人、教学办公室、学院审批。学院审批通过后，教学办公室及学生工作办公室方可出具成绩单、思想品行鉴定意见等。逾期未提交申请材料的，视为放弃转出资格。</w:t>
      </w:r>
    </w:p>
    <w:p>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default" w:ascii="仿宋" w:hAnsi="仿宋" w:eastAsia="仿宋"/>
          <w:color w:val="auto"/>
          <w:sz w:val="32"/>
          <w:szCs w:val="32"/>
          <w:highlight w:val="none"/>
          <w:lang w:val="en-US" w:eastAsia="zh-CN"/>
        </w:rPr>
      </w:pPr>
      <w:r>
        <w:rPr>
          <w:rFonts w:hint="eastAsia" w:ascii="黑体" w:hAnsi="黑体" w:eastAsia="黑体"/>
          <w:color w:val="auto"/>
          <w:sz w:val="32"/>
          <w:szCs w:val="32"/>
          <w:highlight w:val="none"/>
          <w:lang w:val="en-US" w:eastAsia="zh-CN"/>
        </w:rPr>
        <w:t>三、其他</w:t>
      </w:r>
    </w:p>
    <w:p>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1.未</w:t>
      </w:r>
      <w:r>
        <w:rPr>
          <w:rFonts w:hint="eastAsia" w:ascii="仿宋" w:hAnsi="仿宋" w:eastAsia="仿宋"/>
          <w:color w:val="auto"/>
          <w:sz w:val="32"/>
          <w:szCs w:val="32"/>
          <w:highlight w:val="none"/>
        </w:rPr>
        <w:t>按时提交</w:t>
      </w:r>
      <w:r>
        <w:rPr>
          <w:rFonts w:hint="eastAsia" w:ascii="仿宋" w:hAnsi="仿宋" w:eastAsia="仿宋"/>
          <w:color w:val="auto"/>
          <w:sz w:val="32"/>
          <w:szCs w:val="32"/>
          <w:highlight w:val="none"/>
          <w:lang w:val="en-US" w:eastAsia="zh-CN"/>
        </w:rPr>
        <w:t>材料或参加考核</w:t>
      </w:r>
      <w:r>
        <w:rPr>
          <w:rFonts w:hint="eastAsia" w:ascii="仿宋" w:hAnsi="仿宋" w:eastAsia="仿宋"/>
          <w:color w:val="auto"/>
          <w:sz w:val="32"/>
          <w:szCs w:val="32"/>
          <w:highlight w:val="none"/>
        </w:rPr>
        <w:t>者，视为自动放弃转入</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rPr>
        <w:t>相关专业的资格</w:t>
      </w:r>
      <w:r>
        <w:rPr>
          <w:rFonts w:hint="eastAsia" w:ascii="仿宋" w:hAnsi="仿宋" w:eastAsia="仿宋"/>
          <w:color w:val="auto"/>
          <w:sz w:val="32"/>
          <w:szCs w:val="32"/>
          <w:highlight w:val="none"/>
          <w:lang w:eastAsia="zh-CN"/>
        </w:rPr>
        <w:t>。</w:t>
      </w:r>
    </w:p>
    <w:p>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未尽事宜按</w:t>
      </w:r>
      <w:r>
        <w:rPr>
          <w:rFonts w:hint="eastAsia" w:ascii="仿宋" w:hAnsi="仿宋" w:eastAsia="仿宋"/>
          <w:color w:val="auto"/>
          <w:sz w:val="32"/>
          <w:szCs w:val="32"/>
        </w:rPr>
        <w:t>“管理</w:t>
      </w:r>
      <w:r>
        <w:rPr>
          <w:rFonts w:hint="eastAsia" w:ascii="仿宋" w:hAnsi="仿宋" w:eastAsia="仿宋"/>
          <w:color w:val="auto"/>
          <w:sz w:val="32"/>
          <w:szCs w:val="32"/>
          <w:lang w:eastAsia="zh-CN"/>
        </w:rPr>
        <w:t>规定</w:t>
      </w:r>
      <w:r>
        <w:rPr>
          <w:rFonts w:hint="eastAsia" w:ascii="仿宋" w:hAnsi="仿宋" w:eastAsia="仿宋"/>
          <w:color w:val="auto"/>
          <w:sz w:val="32"/>
          <w:szCs w:val="32"/>
        </w:rPr>
        <w:t>” “关于开展2025-2026学年第</w:t>
      </w:r>
      <w:r>
        <w:rPr>
          <w:rFonts w:hint="eastAsia" w:ascii="仿宋" w:hAnsi="仿宋" w:eastAsia="仿宋"/>
          <w:color w:val="auto"/>
          <w:sz w:val="32"/>
          <w:szCs w:val="32"/>
          <w:lang w:eastAsia="zh-CN"/>
        </w:rPr>
        <w:t>二</w:t>
      </w:r>
      <w:r>
        <w:rPr>
          <w:rFonts w:hint="eastAsia" w:ascii="仿宋" w:hAnsi="仿宋" w:eastAsia="仿宋"/>
          <w:color w:val="auto"/>
          <w:sz w:val="32"/>
          <w:szCs w:val="32"/>
        </w:rPr>
        <w:t>学期转专业工作的通知”有关精神执行</w:t>
      </w:r>
      <w:r>
        <w:rPr>
          <w:rFonts w:hint="eastAsia" w:ascii="仿宋" w:hAnsi="仿宋" w:eastAsia="仿宋"/>
          <w:color w:val="auto"/>
          <w:sz w:val="32"/>
          <w:szCs w:val="32"/>
          <w:highlight w:val="none"/>
        </w:rPr>
        <w:t>。</w:t>
      </w:r>
    </w:p>
    <w:p>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对上述实施</w:t>
      </w:r>
      <w:r>
        <w:rPr>
          <w:rFonts w:hint="eastAsia" w:ascii="仿宋" w:hAnsi="仿宋" w:eastAsia="仿宋"/>
          <w:color w:val="auto"/>
          <w:sz w:val="32"/>
          <w:szCs w:val="32"/>
          <w:highlight w:val="none"/>
          <w:lang w:val="en-US" w:eastAsia="zh-CN"/>
        </w:rPr>
        <w:t>方案</w:t>
      </w:r>
      <w:r>
        <w:rPr>
          <w:rFonts w:hint="eastAsia" w:ascii="仿宋" w:hAnsi="仿宋" w:eastAsia="仿宋"/>
          <w:color w:val="auto"/>
          <w:sz w:val="32"/>
          <w:szCs w:val="32"/>
          <w:highlight w:val="none"/>
        </w:rPr>
        <w:t>及具体实施过程有任何疑问者，可直接向学院、学校教务处反映</w:t>
      </w:r>
      <w:r>
        <w:rPr>
          <w:rFonts w:hint="eastAsia" w:ascii="仿宋" w:hAnsi="仿宋" w:eastAsia="仿宋"/>
          <w:color w:val="auto"/>
          <w:sz w:val="32"/>
          <w:szCs w:val="32"/>
        </w:rPr>
        <w:t>并及时回复</w:t>
      </w:r>
      <w:r>
        <w:rPr>
          <w:rFonts w:hint="eastAsia" w:ascii="仿宋" w:hAnsi="仿宋" w:eastAsia="仿宋"/>
          <w:color w:val="auto"/>
          <w:sz w:val="32"/>
          <w:szCs w:val="32"/>
          <w:highlight w:val="none"/>
        </w:rPr>
        <w:t>。</w:t>
      </w:r>
    </w:p>
    <w:p>
      <w:pPr>
        <w:spacing w:line="5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学院转专业工作联系人：</w:t>
      </w:r>
      <w:r>
        <w:rPr>
          <w:rFonts w:hint="eastAsia" w:ascii="仿宋" w:hAnsi="仿宋" w:eastAsia="仿宋"/>
          <w:color w:val="auto"/>
          <w:sz w:val="32"/>
          <w:szCs w:val="32"/>
          <w:lang w:val="en-US" w:eastAsia="zh-CN"/>
        </w:rPr>
        <w:t>王官利，</w:t>
      </w:r>
      <w:r>
        <w:rPr>
          <w:rFonts w:hint="eastAsia" w:ascii="仿宋" w:hAnsi="仿宋" w:eastAsia="仿宋"/>
          <w:color w:val="auto"/>
          <w:sz w:val="32"/>
          <w:szCs w:val="32"/>
        </w:rPr>
        <w:t>转专业工作</w:t>
      </w:r>
      <w:r>
        <w:rPr>
          <w:rFonts w:hint="eastAsia" w:ascii="仿宋" w:hAnsi="仿宋" w:eastAsia="仿宋"/>
          <w:color w:val="auto"/>
          <w:sz w:val="32"/>
          <w:szCs w:val="32"/>
          <w:lang w:val="en-US" w:eastAsia="zh-CN"/>
        </w:rPr>
        <w:t>QQ群：</w:t>
      </w:r>
      <w:r>
        <w:rPr>
          <w:rFonts w:hint="eastAsia" w:ascii="仿宋" w:hAnsi="仿宋" w:eastAsia="仿宋" w:cs="仿宋"/>
          <w:i w:val="0"/>
          <w:iCs w:val="0"/>
          <w:caps w:val="0"/>
          <w:color w:val="auto"/>
          <w:spacing w:val="0"/>
          <w:kern w:val="0"/>
          <w:sz w:val="32"/>
          <w:szCs w:val="32"/>
          <w:highlight w:val="none"/>
          <w:shd w:val="clear" w:fill="FFFFFF"/>
          <w:lang w:val="en-US" w:eastAsia="zh-CN" w:bidi="ar"/>
        </w:rPr>
        <w:t>522271695，</w:t>
      </w: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13399938566。</w:t>
      </w:r>
    </w:p>
    <w:p>
      <w:pPr>
        <w:shd w:val="clear"/>
        <w:spacing w:line="360" w:lineRule="auto"/>
        <w:ind w:firstLine="640" w:firstLineChars="200"/>
        <w:jc w:val="center"/>
        <w:rPr>
          <w:rFonts w:hint="eastAsia" w:ascii="仿宋" w:hAnsi="仿宋" w:eastAsia="仿宋"/>
          <w:color w:val="auto"/>
          <w:sz w:val="32"/>
          <w:szCs w:val="32"/>
          <w:highlight w:val="none"/>
          <w:lang w:val="en-US" w:eastAsia="zh-CN"/>
        </w:rPr>
      </w:pPr>
    </w:p>
    <w:p>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附件：</w:t>
      </w:r>
    </w:p>
    <w:p>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olor w:val="auto"/>
          <w:sz w:val="32"/>
          <w:szCs w:val="32"/>
          <w:highlight w:val="none"/>
          <w:lang w:val="en-US" w:eastAsia="zh-CN"/>
        </w:rPr>
        <w:t>1</w:t>
      </w:r>
      <w:r>
        <w:rPr>
          <w:rFonts w:hint="eastAsia" w:ascii="仿宋" w:hAnsi="仿宋" w:eastAsia="仿宋" w:cs="仿宋"/>
          <w:i w:val="0"/>
          <w:iCs w:val="0"/>
          <w:caps w:val="0"/>
          <w:color w:val="auto"/>
          <w:spacing w:val="0"/>
          <w:kern w:val="0"/>
          <w:sz w:val="32"/>
          <w:szCs w:val="32"/>
          <w:highlight w:val="none"/>
          <w:shd w:val="clear" w:fill="FFFFFF"/>
          <w:lang w:val="en-US" w:eastAsia="zh-CN" w:bidi="ar"/>
        </w:rPr>
        <w:t>.石河子大学医学院2025-2026学年第二学期转专业报名信息汇总表</w:t>
      </w:r>
    </w:p>
    <w:p>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2.个人</w:t>
      </w:r>
      <w:r>
        <w:rPr>
          <w:rFonts w:hint="eastAsia" w:ascii="仿宋" w:hAnsi="仿宋" w:eastAsia="仿宋"/>
          <w:color w:val="auto"/>
          <w:sz w:val="32"/>
          <w:szCs w:val="32"/>
          <w:highlight w:val="none"/>
          <w:lang w:val="en-US" w:eastAsia="zh-CN"/>
        </w:rPr>
        <w:t>提交材料</w:t>
      </w:r>
      <w:r>
        <w:rPr>
          <w:rFonts w:hint="eastAsia" w:ascii="仿宋" w:hAnsi="仿宋" w:eastAsia="仿宋" w:cs="仿宋"/>
          <w:i w:val="0"/>
          <w:iCs w:val="0"/>
          <w:caps w:val="0"/>
          <w:color w:val="auto"/>
          <w:spacing w:val="0"/>
          <w:kern w:val="0"/>
          <w:sz w:val="32"/>
          <w:szCs w:val="32"/>
          <w:highlight w:val="none"/>
          <w:shd w:val="clear" w:fill="FFFFFF"/>
          <w:lang w:val="en-US" w:eastAsia="zh-CN" w:bidi="ar"/>
        </w:rPr>
        <w:t>清单目录</w:t>
      </w:r>
    </w:p>
    <w:p>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w:t>
      </w:r>
      <w:bookmarkStart w:id="9" w:name="OLE_LINK3"/>
      <w:r>
        <w:rPr>
          <w:rFonts w:hint="eastAsia" w:ascii="仿宋" w:hAnsi="仿宋" w:eastAsia="仿宋"/>
          <w:color w:val="auto"/>
          <w:sz w:val="32"/>
          <w:szCs w:val="32"/>
          <w:highlight w:val="none"/>
          <w:lang w:val="en-US" w:eastAsia="zh-CN"/>
        </w:rPr>
        <w:t>个人综合素质专项成绩认定考评表</w:t>
      </w:r>
    </w:p>
    <w:p>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4.个人综合素质专项成绩认定评分表</w:t>
      </w:r>
      <w:bookmarkEnd w:id="9"/>
    </w:p>
    <w:p>
      <w:pPr>
        <w:shd w:val="clear"/>
        <w:spacing w:line="360" w:lineRule="auto"/>
        <w:ind w:firstLine="640" w:firstLineChars="200"/>
        <w:jc w:val="center"/>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pPr>
        <w:shd w:val="clear"/>
        <w:spacing w:line="360" w:lineRule="auto"/>
        <w:ind w:firstLine="640" w:firstLineChars="200"/>
        <w:jc w:val="center"/>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石河子大学医</w:t>
      </w:r>
      <w:r>
        <w:rPr>
          <w:rFonts w:hint="eastAsia" w:ascii="仿宋" w:hAnsi="仿宋" w:eastAsia="仿宋"/>
          <w:color w:val="auto"/>
          <w:sz w:val="32"/>
          <w:szCs w:val="32"/>
          <w:highlight w:val="none"/>
        </w:rPr>
        <w:t>学院</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公共卫生学院、临床医学院</w:t>
      </w:r>
    </w:p>
    <w:p>
      <w:pPr>
        <w:shd w:val="clear"/>
        <w:spacing w:line="360" w:lineRule="auto"/>
        <w:ind w:firstLine="627" w:firstLineChars="196"/>
        <w:jc w:val="center"/>
        <w:rPr>
          <w:rFonts w:hint="eastAsia" w:ascii="仿宋" w:hAnsi="仿宋" w:eastAsia="仿宋"/>
          <w:color w:val="auto"/>
          <w:sz w:val="32"/>
          <w:szCs w:val="32"/>
          <w:highlight w:val="none"/>
          <w:shd w:val="clear"/>
          <w:lang w:val="en-US"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shd w:val="clear"/>
          <w:lang w:val="en-US" w:eastAsia="zh-CN"/>
        </w:rPr>
        <w:fldChar w:fldCharType="begin"/>
      </w:r>
      <w:r>
        <w:rPr>
          <w:rFonts w:hint="eastAsia" w:ascii="仿宋" w:hAnsi="仿宋" w:eastAsia="仿宋"/>
          <w:color w:val="auto"/>
          <w:sz w:val="32"/>
          <w:szCs w:val="32"/>
          <w:highlight w:val="none"/>
          <w:shd w:val="clear"/>
          <w:lang w:val="en-US" w:eastAsia="zh-CN"/>
        </w:rPr>
        <w:instrText xml:space="preserve">TIME \@ "yyyy'年'M'月'd'日'"</w:instrText>
      </w:r>
      <w:r>
        <w:rPr>
          <w:rFonts w:hint="eastAsia" w:ascii="仿宋" w:hAnsi="仿宋" w:eastAsia="仿宋"/>
          <w:color w:val="auto"/>
          <w:sz w:val="32"/>
          <w:szCs w:val="32"/>
          <w:highlight w:val="none"/>
          <w:shd w:val="clear"/>
          <w:lang w:val="en-US" w:eastAsia="zh-CN"/>
        </w:rPr>
        <w:fldChar w:fldCharType="separate"/>
      </w:r>
      <w:r>
        <w:rPr>
          <w:rFonts w:hint="eastAsia" w:ascii="仿宋" w:hAnsi="仿宋" w:eastAsia="仿宋"/>
          <w:color w:val="auto"/>
          <w:sz w:val="32"/>
          <w:szCs w:val="32"/>
          <w:highlight w:val="none"/>
          <w:shd w:val="clear"/>
          <w:lang w:val="en-US" w:eastAsia="zh-CN"/>
        </w:rPr>
        <w:t>2025年12月24日</w:t>
      </w:r>
      <w:r>
        <w:rPr>
          <w:rFonts w:hint="eastAsia" w:ascii="仿宋" w:hAnsi="仿宋" w:eastAsia="仿宋"/>
          <w:color w:val="auto"/>
          <w:sz w:val="32"/>
          <w:szCs w:val="32"/>
          <w:highlight w:val="none"/>
          <w:shd w:val="clear"/>
          <w:lang w:val="en-US" w:eastAsia="zh-CN"/>
        </w:rPr>
        <w:fldChar w:fldCharType="end"/>
      </w:r>
    </w:p>
    <w:p>
      <w:pPr>
        <w:shd w:val="clear"/>
        <w:rPr>
          <w:rFonts w:hint="eastAsia"/>
          <w:color w:val="auto"/>
          <w:highlight w:val="none"/>
          <w:lang w:eastAsia="zh-CN"/>
        </w:rPr>
      </w:pPr>
    </w:p>
    <w:p>
      <w:pPr>
        <w:widowControl/>
        <w:shd w:val="clear"/>
        <w:textAlignment w:val="center"/>
        <w:rPr>
          <w:rFonts w:hint="eastAsia" w:ascii="仿宋" w:hAnsi="仿宋" w:eastAsia="仿宋" w:cs="仿宋"/>
          <w:color w:val="auto"/>
          <w:kern w:val="0"/>
          <w:sz w:val="18"/>
          <w:szCs w:val="18"/>
          <w:highlight w:val="none"/>
          <w:lang w:eastAsia="zh-CN"/>
        </w:rPr>
      </w:pPr>
    </w:p>
    <w:p>
      <w:pPr>
        <w:shd w:val="clear"/>
        <w:rPr>
          <w:color w:val="auto"/>
          <w:highlight w:val="none"/>
        </w:rPr>
      </w:pPr>
    </w:p>
    <w:p>
      <w:pPr>
        <w:shd w:val="clear"/>
        <w:rPr>
          <w:rFonts w:hint="eastAsia"/>
          <w:color w:val="auto"/>
          <w:highlight w:val="none"/>
          <w:lang w:eastAsia="zh-CN"/>
        </w:rPr>
      </w:pPr>
    </w:p>
    <w:p>
      <w:pPr>
        <w:widowControl/>
        <w:shd w:val="clear"/>
        <w:textAlignment w:val="center"/>
        <w:rPr>
          <w:rFonts w:hint="eastAsia" w:ascii="仿宋" w:hAnsi="仿宋" w:eastAsia="仿宋" w:cs="仿宋"/>
          <w:color w:val="auto"/>
          <w:kern w:val="0"/>
          <w:sz w:val="18"/>
          <w:szCs w:val="18"/>
          <w:highlight w:val="none"/>
          <w:lang w:eastAsia="zh-CN"/>
        </w:rPr>
      </w:pPr>
    </w:p>
    <w:p>
      <w:pPr>
        <w:shd w:val="clear"/>
        <w:rPr>
          <w:color w:val="auto"/>
          <w:highlight w:val="none"/>
        </w:rPr>
      </w:pPr>
    </w:p>
    <w:p>
      <w:pPr>
        <w:shd w:val="clear"/>
        <w:rPr>
          <w:color w:val="auto"/>
          <w:highlight w:val="none"/>
        </w:rPr>
      </w:pP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 w:hAnsi="仿宋" w:eastAsia="仿宋" w:cs="仿宋"/>
          <w:color w:val="auto"/>
          <w:kern w:val="0"/>
          <w:sz w:val="32"/>
          <w:szCs w:val="28"/>
          <w:highlight w:val="none"/>
          <w:lang w:val="en-US" w:eastAsia="zh-CN"/>
        </w:rPr>
      </w:pPr>
    </w:p>
    <w:p>
      <w:pPr>
        <w:shd w:val="clear"/>
        <w:jc w:val="both"/>
        <w:rPr>
          <w:rFonts w:hint="eastAsia" w:ascii="黑体" w:hAnsi="黑体" w:eastAsia="黑体" w:cs="黑体"/>
          <w:color w:val="auto"/>
          <w:kern w:val="0"/>
          <w:sz w:val="32"/>
          <w:szCs w:val="32"/>
          <w:highlight w:val="none"/>
          <w:lang w:val="en-US" w:eastAsia="zh-CN"/>
        </w:rPr>
      </w:pPr>
      <w:bookmarkStart w:id="10" w:name="OLE_LINK1"/>
    </w:p>
    <w:bookmarkEnd w:id="10"/>
    <w:p>
      <w:pPr>
        <w:shd w:val="clear"/>
        <w:jc w:val="center"/>
        <w:rPr>
          <w:rFonts w:hint="eastAsia" w:ascii="方正小标宋简体" w:hAnsi="方正小标宋简体" w:eastAsia="方正小标宋简体" w:cs="方正小标宋简体"/>
          <w:b/>
          <w:bCs/>
          <w:color w:val="auto"/>
          <w:sz w:val="44"/>
          <w:szCs w:val="44"/>
          <w:highlight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pPr>
        <w:shd w:val="clear"/>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附件1：</w:t>
      </w:r>
    </w:p>
    <w:p>
      <w:pPr>
        <w:shd w:val="clear"/>
        <w:jc w:val="center"/>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石河子大学医学院、公共卫生学院、临床医学院2025-2026-2转专业</w:t>
      </w:r>
    </w:p>
    <w:p>
      <w:pPr>
        <w:shd w:val="clear"/>
        <w:jc w:val="center"/>
        <w:rPr>
          <w:rFonts w:hint="eastAsia"/>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报名信息汇总表</w:t>
      </w:r>
    </w:p>
    <w:tbl>
      <w:tblPr>
        <w:tblStyle w:val="11"/>
        <w:tblW w:w="14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890"/>
        <w:gridCol w:w="922"/>
        <w:gridCol w:w="813"/>
        <w:gridCol w:w="1380"/>
        <w:gridCol w:w="1504"/>
        <w:gridCol w:w="1517"/>
        <w:gridCol w:w="1067"/>
        <w:gridCol w:w="1128"/>
        <w:gridCol w:w="1438"/>
        <w:gridCol w:w="1550"/>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序号</w:t>
            </w:r>
          </w:p>
        </w:tc>
        <w:tc>
          <w:tcPr>
            <w:tcW w:w="890"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学号</w:t>
            </w:r>
          </w:p>
        </w:tc>
        <w:tc>
          <w:tcPr>
            <w:tcW w:w="922"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姓名</w:t>
            </w:r>
          </w:p>
        </w:tc>
        <w:tc>
          <w:tcPr>
            <w:tcW w:w="813"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性别</w:t>
            </w:r>
          </w:p>
        </w:tc>
        <w:tc>
          <w:tcPr>
            <w:tcW w:w="1380"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转出学院</w:t>
            </w:r>
          </w:p>
        </w:tc>
        <w:tc>
          <w:tcPr>
            <w:tcW w:w="1504"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转出专业</w:t>
            </w:r>
          </w:p>
        </w:tc>
        <w:tc>
          <w:tcPr>
            <w:tcW w:w="1517" w:type="dxa"/>
            <w:vAlign w:val="center"/>
          </w:tcPr>
          <w:p>
            <w:pPr>
              <w:shd w:val="clear"/>
              <w:jc w:val="both"/>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转出年级</w:t>
            </w:r>
          </w:p>
        </w:tc>
        <w:tc>
          <w:tcPr>
            <w:tcW w:w="1067"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拟转入专业1</w:t>
            </w:r>
          </w:p>
        </w:tc>
        <w:tc>
          <w:tcPr>
            <w:tcW w:w="1128"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拟转入专业2</w:t>
            </w:r>
          </w:p>
        </w:tc>
        <w:tc>
          <w:tcPr>
            <w:tcW w:w="1438"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转入年级</w:t>
            </w:r>
          </w:p>
        </w:tc>
        <w:tc>
          <w:tcPr>
            <w:tcW w:w="1550" w:type="dxa"/>
            <w:vAlign w:val="center"/>
          </w:tcPr>
          <w:p>
            <w:pPr>
              <w:shd w:val="clear"/>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联系电话</w:t>
            </w:r>
          </w:p>
        </w:tc>
        <w:tc>
          <w:tcPr>
            <w:tcW w:w="1697"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r>
              <w:rPr>
                <w:rFonts w:hint="default" w:ascii="仿宋" w:hAnsi="仿宋" w:eastAsia="仿宋" w:cs="仿宋"/>
                <w:color w:val="auto"/>
                <w:sz w:val="24"/>
                <w:szCs w:val="24"/>
                <w:highlight w:val="none"/>
                <w:lang w:val="en-US" w:eastAsia="zh-CN"/>
              </w:rPr>
              <w:t>如：退伍复学转专业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bl>
    <w:p>
      <w:pPr>
        <w:shd w:val="clear"/>
        <w:jc w:val="both"/>
        <w:rPr>
          <w:rFonts w:hint="eastAsia" w:ascii="方正小标宋简体" w:hAnsi="方正小标宋简体" w:eastAsia="方正小标宋简体" w:cs="方正小标宋简体"/>
          <w:b/>
          <w:bCs/>
          <w:color w:val="auto"/>
          <w:sz w:val="44"/>
          <w:szCs w:val="44"/>
          <w:highlight w:val="none"/>
          <w:lang w:val="en-US" w:eastAsia="zh-CN"/>
        </w:rPr>
        <w:sectPr>
          <w:pgSz w:w="16838" w:h="11906" w:orient="landscape"/>
          <w:pgMar w:top="1474" w:right="1440" w:bottom="1474" w:left="1440" w:header="851" w:footer="992" w:gutter="0"/>
          <w:pgBorders>
            <w:top w:val="none" w:sz="0" w:space="0"/>
            <w:left w:val="none" w:sz="0" w:space="0"/>
            <w:bottom w:val="none" w:sz="0" w:space="0"/>
            <w:right w:val="none" w:sz="0" w:space="0"/>
          </w:pgBorders>
          <w:cols w:space="0" w:num="1"/>
          <w:rtlGutter w:val="0"/>
          <w:docGrid w:type="lines" w:linePitch="319" w:charSpace="0"/>
        </w:sectPr>
      </w:pPr>
      <w:bookmarkStart w:id="13" w:name="_GoBack"/>
      <w:bookmarkEnd w:id="13"/>
    </w:p>
    <w:p>
      <w:pPr>
        <w:shd w:val="clear"/>
        <w:jc w:val="both"/>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附件2：</w:t>
      </w:r>
    </w:p>
    <w:p>
      <w:pPr>
        <w:shd w:val="clear"/>
        <w:jc w:val="center"/>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个人提交材料清单目录</w:t>
      </w:r>
    </w:p>
    <w:p>
      <w:pPr>
        <w:shd w:val="clear"/>
        <w:jc w:val="center"/>
        <w:rPr>
          <w:rFonts w:hint="eastAsia"/>
          <w:b/>
          <w:bCs/>
          <w:color w:val="auto"/>
          <w:sz w:val="32"/>
          <w:szCs w:val="32"/>
          <w:highlight w:val="none"/>
          <w:lang w:val="en-US" w:eastAsia="zh-CN"/>
        </w:rPr>
      </w:pPr>
    </w:p>
    <w:p>
      <w:pPr>
        <w:shd w:val="clear"/>
        <w:jc w:val="both"/>
        <w:rPr>
          <w:rFonts w:hint="default"/>
          <w:b w:val="0"/>
          <w:bCs w:val="0"/>
          <w:color w:val="auto"/>
          <w:sz w:val="32"/>
          <w:szCs w:val="32"/>
          <w:highlight w:val="none"/>
          <w:lang w:val="en-US" w:eastAsia="zh-CN"/>
        </w:rPr>
      </w:pPr>
      <w:r>
        <w:rPr>
          <w:rFonts w:hint="eastAsia"/>
          <w:b w:val="0"/>
          <w:bCs w:val="0"/>
          <w:color w:val="auto"/>
          <w:sz w:val="32"/>
          <w:szCs w:val="32"/>
          <w:highlight w:val="none"/>
          <w:lang w:val="en-US" w:eastAsia="zh-CN"/>
        </w:rPr>
        <w:t>姓名：          学号：        申请转入专业：</w:t>
      </w:r>
    </w:p>
    <w:tbl>
      <w:tblPr>
        <w:tblStyle w:val="11"/>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569"/>
        <w:gridCol w:w="210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序号</w:t>
            </w:r>
          </w:p>
        </w:tc>
        <w:tc>
          <w:tcPr>
            <w:tcW w:w="4569" w:type="dxa"/>
            <w:vAlign w:val="top"/>
          </w:tcPr>
          <w:p>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材料内容</w:t>
            </w:r>
          </w:p>
        </w:tc>
        <w:tc>
          <w:tcPr>
            <w:tcW w:w="2106" w:type="dxa"/>
            <w:vAlign w:val="top"/>
          </w:tcPr>
          <w:p>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数量及单位</w:t>
            </w:r>
          </w:p>
        </w:tc>
        <w:tc>
          <w:tcPr>
            <w:tcW w:w="1283" w:type="dxa"/>
            <w:vAlign w:val="top"/>
          </w:tcPr>
          <w:p>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w:t>
            </w:r>
          </w:p>
        </w:tc>
        <w:tc>
          <w:tcPr>
            <w:tcW w:w="4569" w:type="dxa"/>
            <w:vAlign w:val="top"/>
          </w:tcPr>
          <w:p>
            <w:pPr>
              <w:shd w:val="clear"/>
              <w:jc w:val="both"/>
              <w:rPr>
                <w:rFonts w:hint="default"/>
                <w:b w:val="0"/>
                <w:bCs w:val="0"/>
                <w:color w:val="auto"/>
                <w:sz w:val="28"/>
                <w:szCs w:val="28"/>
                <w:highlight w:val="none"/>
                <w:vertAlign w:val="baseline"/>
                <w:lang w:val="en-US" w:eastAsia="zh-CN"/>
              </w:rPr>
            </w:pPr>
            <w:r>
              <w:rPr>
                <w:rFonts w:hint="eastAsia" w:ascii="仿宋" w:hAnsi="仿宋" w:eastAsia="仿宋" w:cs="仿宋"/>
                <w:color w:val="auto"/>
                <w:sz w:val="32"/>
                <w:szCs w:val="32"/>
                <w:highlight w:val="none"/>
              </w:rPr>
              <w:t>石河子大学普通本（专）科学生转专业审批表</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2</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转专业报名信息登记表</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3</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sz w:val="32"/>
                <w:szCs w:val="32"/>
                <w:highlight w:val="none"/>
                <w:lang w:val="en-US" w:eastAsia="zh-CN"/>
              </w:rPr>
              <w:t>入学以来原始成绩单</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4</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sz w:val="32"/>
                <w:szCs w:val="32"/>
                <w:highlight w:val="none"/>
                <w:lang w:val="en-US" w:eastAsia="zh-CN"/>
              </w:rPr>
              <w:t>平均学分成绩专业排名表</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5</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原学院出具的在校表现及无违纪证明</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6</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个人</w:t>
            </w:r>
            <w:r>
              <w:rPr>
                <w:rFonts w:hint="default" w:ascii="仿宋" w:hAnsi="仿宋" w:eastAsia="仿宋" w:cs="仿宋"/>
                <w:color w:val="auto"/>
                <w:kern w:val="2"/>
                <w:sz w:val="32"/>
                <w:szCs w:val="32"/>
                <w:highlight w:val="none"/>
                <w:lang w:val="en-US" w:eastAsia="zh-CN" w:bidi="ar-SA"/>
              </w:rPr>
              <w:t>申请书</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7</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CET4成绩单</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8</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CET6成绩单</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9</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计算机一级成绩单</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10</w:t>
            </w:r>
          </w:p>
        </w:tc>
        <w:tc>
          <w:tcPr>
            <w:tcW w:w="4569" w:type="dxa"/>
            <w:vAlign w:val="top"/>
          </w:tcPr>
          <w:p>
            <w:pPr>
              <w:shd w:val="clear"/>
              <w:jc w:val="both"/>
              <w:rPr>
                <w:rFonts w:hint="default" w:ascii="Calibri" w:hAnsi="Calibri" w:eastAsia="宋体" w:cs="Times New Roman"/>
                <w:b w:val="0"/>
                <w:bCs w:val="0"/>
                <w:color w:val="auto"/>
                <w:kern w:val="2"/>
                <w:sz w:val="28"/>
                <w:szCs w:val="28"/>
                <w:highlight w:val="none"/>
                <w:vertAlign w:val="baseline"/>
                <w:lang w:val="en-US" w:eastAsia="zh-CN" w:bidi="ar-SA"/>
              </w:rPr>
            </w:pPr>
            <w:r>
              <w:rPr>
                <w:rFonts w:hint="eastAsia" w:ascii="仿宋" w:hAnsi="仿宋" w:eastAsia="仿宋" w:cs="仿宋"/>
                <w:color w:val="auto"/>
                <w:kern w:val="2"/>
                <w:sz w:val="32"/>
                <w:szCs w:val="32"/>
                <w:highlight w:val="none"/>
                <w:lang w:val="en-US" w:eastAsia="zh-CN" w:bidi="ar-SA"/>
              </w:rPr>
              <w:t>其他</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11</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12</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13</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bl>
    <w:p>
      <w:pPr>
        <w:shd w:val="clear"/>
        <w:jc w:val="both"/>
        <w:rPr>
          <w:rFonts w:hint="default"/>
          <w:b/>
          <w:bCs/>
          <w:color w:val="auto"/>
          <w:sz w:val="32"/>
          <w:szCs w:val="32"/>
          <w:highlight w:val="none"/>
          <w:lang w:val="en-US" w:eastAsia="zh-CN"/>
        </w:rPr>
      </w:pPr>
      <w:r>
        <w:rPr>
          <w:rFonts w:hint="eastAsia"/>
          <w:b w:val="0"/>
          <w:bCs w:val="0"/>
          <w:color w:val="auto"/>
          <w:sz w:val="24"/>
          <w:szCs w:val="24"/>
          <w:highlight w:val="none"/>
          <w:lang w:val="en-US" w:eastAsia="zh-CN"/>
        </w:rPr>
        <w:t>说明：其它材料自行列出并补充。</w:t>
      </w:r>
    </w:p>
    <w:p>
      <w:pPr>
        <w:widowControl/>
        <w:shd w:val="clear"/>
        <w:textAlignment w:val="center"/>
        <w:rPr>
          <w:rFonts w:hint="default" w:ascii="仿宋" w:hAnsi="仿宋" w:eastAsia="仿宋" w:cs="仿宋"/>
          <w:color w:val="auto"/>
          <w:kern w:val="0"/>
          <w:sz w:val="18"/>
          <w:szCs w:val="18"/>
          <w:highlight w:val="none"/>
          <w:lang w:val="en-US" w:eastAsia="zh-CN"/>
        </w:rPr>
      </w:pPr>
    </w:p>
    <w:p>
      <w:pPr>
        <w:shd w:val="clear"/>
        <w:rPr>
          <w:color w:val="auto"/>
          <w:highlight w:val="none"/>
        </w:rPr>
      </w:pPr>
    </w:p>
    <w:p>
      <w:pPr>
        <w:shd w:val="clear"/>
        <w:jc w:val="both"/>
        <w:rPr>
          <w:rFonts w:hint="eastAsia" w:ascii="黑体" w:hAnsi="黑体" w:eastAsia="黑体" w:cs="黑体"/>
          <w:color w:val="auto"/>
          <w:kern w:val="0"/>
          <w:sz w:val="32"/>
          <w:szCs w:val="32"/>
          <w:highlight w:val="none"/>
          <w:lang w:val="en-US" w:eastAsia="zh-CN"/>
        </w:rPr>
      </w:pPr>
      <w:bookmarkStart w:id="11" w:name="OLE_LINK2"/>
      <w:r>
        <w:rPr>
          <w:rFonts w:hint="eastAsia" w:ascii="黑体" w:hAnsi="黑体" w:eastAsia="黑体" w:cs="黑体"/>
          <w:color w:val="auto"/>
          <w:kern w:val="0"/>
          <w:sz w:val="32"/>
          <w:szCs w:val="32"/>
          <w:highlight w:val="none"/>
          <w:lang w:val="en-US" w:eastAsia="zh-CN"/>
        </w:rPr>
        <w:t>附件3：</w:t>
      </w:r>
    </w:p>
    <w:p>
      <w:pPr>
        <w:shd w:val="clear"/>
        <w:jc w:val="center"/>
        <w:rPr>
          <w:rFonts w:hint="eastAsia" w:ascii="黑体" w:hAnsi="黑体" w:eastAsia="黑体" w:cs="黑体"/>
          <w:color w:val="auto"/>
          <w:kern w:val="0"/>
          <w:sz w:val="32"/>
          <w:szCs w:val="32"/>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个人综合素质专项成绩认定考评表</w:t>
      </w:r>
    </w:p>
    <w:tbl>
      <w:tblPr>
        <w:tblStyle w:val="11"/>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384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tcPr>
          <w:p>
            <w:pPr>
              <w:shd w:val="clear"/>
              <w:spacing w:line="54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评分项目</w:t>
            </w:r>
          </w:p>
        </w:tc>
        <w:tc>
          <w:tcPr>
            <w:tcW w:w="3847" w:type="dxa"/>
          </w:tcPr>
          <w:p>
            <w:pPr>
              <w:shd w:val="clear"/>
              <w:spacing w:line="54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赋分办法</w:t>
            </w:r>
          </w:p>
        </w:tc>
        <w:tc>
          <w:tcPr>
            <w:tcW w:w="2657" w:type="dxa"/>
          </w:tcPr>
          <w:p>
            <w:pPr>
              <w:shd w:val="clear"/>
              <w:spacing w:line="54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专业特长</w:t>
            </w:r>
          </w:p>
        </w:tc>
        <w:tc>
          <w:tcPr>
            <w:tcW w:w="3847"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与转入专业相关的各类获奖证书、论文和实验发明创造、主持或参与SRP/国创等创新创业活动。国家级25分，省部级15分，厅局级10分，院级5分。依据排名依次递减2分</w:t>
            </w:r>
          </w:p>
        </w:tc>
        <w:tc>
          <w:tcPr>
            <w:tcW w:w="2657"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提供等级证书或获奖证书、论文等证明性材料原件与复印件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rPr>
              <w:t>全国大学英语四、六级考试成绩</w:t>
            </w:r>
          </w:p>
        </w:tc>
        <w:tc>
          <w:tcPr>
            <w:tcW w:w="384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rPr>
              <w:t>六级≥425分赋10分，四级≥425分赋8分，考试成绩每增加1分，可加赋0.1分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此项</w:t>
            </w:r>
            <w:r>
              <w:rPr>
                <w:rFonts w:hint="eastAsia" w:ascii="仿宋" w:hAnsi="仿宋" w:eastAsia="仿宋"/>
                <w:color w:val="auto"/>
                <w:sz w:val="28"/>
                <w:szCs w:val="28"/>
                <w:highlight w:val="none"/>
              </w:rPr>
              <w:t>最高赋分不超过1</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tc>
        <w:tc>
          <w:tcPr>
            <w:tcW w:w="265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四、六级成绩单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ascii="仿宋" w:hAnsi="仿宋" w:eastAsia="仿宋" w:cstheme="minorBidi"/>
                <w:color w:val="auto"/>
                <w:kern w:val="2"/>
                <w:sz w:val="32"/>
                <w:szCs w:val="32"/>
                <w:highlight w:val="none"/>
                <w:lang w:val="en-US" w:eastAsia="zh-CN" w:bidi="ar-SA"/>
              </w:rPr>
            </w:pPr>
            <w:r>
              <w:rPr>
                <w:rFonts w:hint="eastAsia" w:ascii="仿宋" w:hAnsi="仿宋" w:eastAsia="仿宋"/>
                <w:color w:val="auto"/>
                <w:sz w:val="28"/>
                <w:szCs w:val="28"/>
                <w:highlight w:val="none"/>
              </w:rPr>
              <w:t>班级成绩排名</w:t>
            </w:r>
          </w:p>
        </w:tc>
        <w:tc>
          <w:tcPr>
            <w:tcW w:w="384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ascii="仿宋" w:hAnsi="仿宋" w:eastAsia="仿宋" w:cstheme="minorBidi"/>
                <w:color w:val="auto"/>
                <w:kern w:val="2"/>
                <w:sz w:val="32"/>
                <w:szCs w:val="32"/>
                <w:highlight w:val="none"/>
                <w:lang w:val="en-US" w:eastAsia="zh-CN" w:bidi="ar-SA"/>
              </w:rPr>
            </w:pPr>
            <w:r>
              <w:rPr>
                <w:rFonts w:hint="eastAsia" w:ascii="仿宋" w:hAnsi="仿宋" w:eastAsia="仿宋"/>
                <w:color w:val="auto"/>
                <w:sz w:val="28"/>
                <w:szCs w:val="28"/>
                <w:highlight w:val="none"/>
              </w:rPr>
              <w:t>第一名赋</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分，第二名</w:t>
            </w:r>
            <w:r>
              <w:rPr>
                <w:rFonts w:hint="eastAsia" w:ascii="仿宋" w:hAnsi="仿宋" w:eastAsia="仿宋"/>
                <w:color w:val="auto"/>
                <w:sz w:val="28"/>
                <w:szCs w:val="28"/>
                <w:highlight w:val="none"/>
                <w:lang w:val="en-US" w:eastAsia="zh-CN"/>
              </w:rPr>
              <w:t>赋2</w:t>
            </w:r>
            <w:r>
              <w:rPr>
                <w:rFonts w:hint="eastAsia" w:ascii="仿宋" w:hAnsi="仿宋" w:eastAsia="仿宋"/>
                <w:color w:val="auto"/>
                <w:sz w:val="28"/>
                <w:szCs w:val="28"/>
                <w:highlight w:val="none"/>
              </w:rPr>
              <w:t>8分，依次递减2分</w:t>
            </w:r>
          </w:p>
        </w:tc>
        <w:tc>
          <w:tcPr>
            <w:tcW w:w="265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stheme="minorBidi"/>
                <w:color w:val="auto"/>
                <w:kern w:val="2"/>
                <w:sz w:val="32"/>
                <w:szCs w:val="32"/>
                <w:highlight w:val="none"/>
                <w:lang w:val="en-US" w:eastAsia="zh-CN" w:bidi="ar-SA"/>
              </w:rPr>
            </w:pPr>
            <w:r>
              <w:rPr>
                <w:rFonts w:hint="eastAsia" w:ascii="仿宋" w:hAnsi="仿宋" w:eastAsia="仿宋"/>
                <w:color w:val="auto"/>
                <w:sz w:val="28"/>
                <w:szCs w:val="28"/>
                <w:highlight w:val="none"/>
                <w:lang w:val="en-US" w:eastAsia="zh-CN"/>
              </w:rPr>
              <w:t>原学院提供的班级成绩排名表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rPr>
              <w:t>各类荣誉或</w:t>
            </w:r>
            <w:r>
              <w:rPr>
                <w:rFonts w:hint="eastAsia" w:ascii="仿宋" w:hAnsi="仿宋" w:eastAsia="仿宋"/>
                <w:color w:val="auto"/>
                <w:sz w:val="28"/>
                <w:szCs w:val="28"/>
                <w:highlight w:val="none"/>
                <w:lang w:val="en-US" w:eastAsia="zh-CN"/>
              </w:rPr>
              <w:t>奖励</w:t>
            </w:r>
          </w:p>
        </w:tc>
        <w:tc>
          <w:tcPr>
            <w:tcW w:w="384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ascii="仿宋" w:hAnsi="仿宋" w:eastAsia="仿宋"/>
                <w:color w:val="auto"/>
                <w:sz w:val="32"/>
                <w:szCs w:val="32"/>
                <w:highlight w:val="none"/>
              </w:rPr>
            </w:pPr>
            <w:r>
              <w:rPr>
                <w:rFonts w:hint="eastAsia" w:ascii="仿宋" w:hAnsi="仿宋" w:eastAsia="仿宋"/>
                <w:color w:val="auto"/>
                <w:sz w:val="28"/>
                <w:szCs w:val="28"/>
                <w:highlight w:val="none"/>
                <w:lang w:val="en-US" w:eastAsia="zh-CN"/>
              </w:rPr>
              <w:t>国家级15分/项，省部</w:t>
            </w:r>
            <w:r>
              <w:rPr>
                <w:rFonts w:hint="eastAsia" w:ascii="仿宋" w:hAnsi="仿宋" w:eastAsia="仿宋"/>
                <w:color w:val="auto"/>
                <w:sz w:val="28"/>
                <w:szCs w:val="28"/>
                <w:highlight w:val="none"/>
              </w:rPr>
              <w:t>级</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分/项，校级</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分/项，院级</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分/项</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退役学生可直接赋分10分，一级、二级、三级表彰分别按每项赋分5分、3分、1分。此项</w:t>
            </w:r>
            <w:r>
              <w:rPr>
                <w:rFonts w:hint="eastAsia" w:ascii="仿宋" w:hAnsi="仿宋" w:eastAsia="仿宋"/>
                <w:color w:val="auto"/>
                <w:sz w:val="28"/>
                <w:szCs w:val="28"/>
                <w:highlight w:val="none"/>
              </w:rPr>
              <w:t>最高赋分不超过1</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tc>
        <w:tc>
          <w:tcPr>
            <w:tcW w:w="265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经原学院有关部门审核盖章的荣誉/获奖证书复印件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文体特长</w:t>
            </w:r>
          </w:p>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高中以来</w:t>
            </w:r>
            <w:r>
              <w:rPr>
                <w:rFonts w:hint="eastAsia" w:ascii="仿宋" w:hAnsi="仿宋" w:eastAsia="仿宋"/>
                <w:color w:val="auto"/>
                <w:sz w:val="28"/>
                <w:szCs w:val="28"/>
                <w:highlight w:val="none"/>
                <w:lang w:eastAsia="zh-CN"/>
              </w:rPr>
              <w:t>）</w:t>
            </w:r>
          </w:p>
        </w:tc>
        <w:tc>
          <w:tcPr>
            <w:tcW w:w="384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艺术特长等级证书按达到最高级别比例赋分。体育特长按运动员水平等级赋分：二级运动员赋10分，一级及以上水平直接赋15分。文体类赛事获国家级奖励赋5分、省部级赋3分、校级赋1分。此项最高赋分不超过15分</w:t>
            </w:r>
          </w:p>
        </w:tc>
        <w:tc>
          <w:tcPr>
            <w:tcW w:w="265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提供等级证书或获奖证书原件与复印件</w:t>
            </w:r>
          </w:p>
        </w:tc>
      </w:tr>
    </w:tbl>
    <w:p>
      <w:pPr>
        <w:shd w:val="clear"/>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附件4：</w:t>
      </w:r>
    </w:p>
    <w:p>
      <w:pPr>
        <w:shd w:val="clear"/>
        <w:jc w:val="center"/>
        <w:rPr>
          <w:rFonts w:hint="eastAsia"/>
          <w:b/>
          <w:bCs/>
          <w:color w:val="auto"/>
          <w:sz w:val="44"/>
          <w:szCs w:val="44"/>
          <w:highlight w:val="none"/>
          <w:lang w:val="en-US" w:eastAsia="zh-CN"/>
        </w:rPr>
      </w:pPr>
      <w:bookmarkStart w:id="12" w:name="OLE_LINK6"/>
      <w:r>
        <w:rPr>
          <w:rFonts w:hint="eastAsia" w:ascii="方正小标宋简体" w:hAnsi="方正小标宋简体" w:eastAsia="方正小标宋简体" w:cs="方正小标宋简体"/>
          <w:b/>
          <w:bCs/>
          <w:color w:val="auto"/>
          <w:sz w:val="44"/>
          <w:szCs w:val="44"/>
          <w:highlight w:val="none"/>
          <w:lang w:val="en-US" w:eastAsia="zh-CN"/>
        </w:rPr>
        <w:t>个人综合素质专项成绩认定评分表</w:t>
      </w:r>
      <w:bookmarkEnd w:id="12"/>
    </w:p>
    <w:bookmarkEnd w:id="11"/>
    <w:p>
      <w:pPr>
        <w:shd w:val="clear"/>
        <w:ind w:firstLine="5040" w:firstLineChars="2400"/>
        <w:rPr>
          <w:rFonts w:hint="default"/>
          <w:color w:val="auto"/>
          <w:highlight w:val="none"/>
          <w:lang w:val="en-US" w:eastAsia="zh-CN"/>
        </w:rPr>
      </w:pPr>
      <w:r>
        <w:rPr>
          <w:rFonts w:hint="eastAsia"/>
          <w:color w:val="auto"/>
          <w:highlight w:val="none"/>
          <w:lang w:val="en-US" w:eastAsia="zh-CN"/>
        </w:rPr>
        <w:t>个人自评得分合计：</w:t>
      </w:r>
      <w:r>
        <w:rPr>
          <w:rFonts w:hint="eastAsia"/>
          <w:color w:val="auto"/>
          <w:highlight w:val="none"/>
          <w:u w:val="single"/>
          <w:lang w:val="en-US" w:eastAsia="zh-CN"/>
        </w:rPr>
        <w:t xml:space="preserve">          </w:t>
      </w:r>
    </w:p>
    <w:tbl>
      <w:tblPr>
        <w:tblStyle w:val="11"/>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89"/>
        <w:gridCol w:w="496"/>
        <w:gridCol w:w="266"/>
        <w:gridCol w:w="911"/>
        <w:gridCol w:w="797"/>
        <w:gridCol w:w="1153"/>
        <w:gridCol w:w="741"/>
        <w:gridCol w:w="1267"/>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24"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姓名</w:t>
            </w:r>
          </w:p>
        </w:tc>
        <w:tc>
          <w:tcPr>
            <w:tcW w:w="989" w:type="dxa"/>
            <w:vAlign w:val="center"/>
          </w:tcPr>
          <w:p>
            <w:pPr>
              <w:shd w:val="clear"/>
              <w:jc w:val="center"/>
              <w:rPr>
                <w:rFonts w:hint="default"/>
                <w:color w:val="auto"/>
                <w:sz w:val="24"/>
                <w:szCs w:val="24"/>
                <w:highlight w:val="none"/>
                <w:vertAlign w:val="baseline"/>
                <w:lang w:val="en-US" w:eastAsia="zh-CN"/>
              </w:rPr>
            </w:pPr>
          </w:p>
        </w:tc>
        <w:tc>
          <w:tcPr>
            <w:tcW w:w="762" w:type="dxa"/>
            <w:gridSpan w:val="2"/>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性别</w:t>
            </w:r>
          </w:p>
        </w:tc>
        <w:tc>
          <w:tcPr>
            <w:tcW w:w="911" w:type="dxa"/>
            <w:vAlign w:val="center"/>
          </w:tcPr>
          <w:p>
            <w:pPr>
              <w:shd w:val="clear"/>
              <w:jc w:val="center"/>
              <w:rPr>
                <w:rFonts w:hint="default"/>
                <w:color w:val="auto"/>
                <w:sz w:val="24"/>
                <w:szCs w:val="24"/>
                <w:highlight w:val="none"/>
                <w:vertAlign w:val="baseline"/>
                <w:lang w:val="en-US" w:eastAsia="zh-CN"/>
              </w:rPr>
            </w:pPr>
          </w:p>
        </w:tc>
        <w:tc>
          <w:tcPr>
            <w:tcW w:w="79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出生年月</w:t>
            </w:r>
          </w:p>
        </w:tc>
        <w:tc>
          <w:tcPr>
            <w:tcW w:w="1153" w:type="dxa"/>
            <w:vAlign w:val="center"/>
          </w:tcPr>
          <w:p>
            <w:pPr>
              <w:shd w:val="clear"/>
              <w:jc w:val="center"/>
              <w:rPr>
                <w:rFonts w:hint="default"/>
                <w:color w:val="auto"/>
                <w:sz w:val="24"/>
                <w:szCs w:val="24"/>
                <w:highlight w:val="none"/>
                <w:vertAlign w:val="baseline"/>
                <w:lang w:val="en-US" w:eastAsia="zh-CN"/>
              </w:rPr>
            </w:pPr>
          </w:p>
        </w:tc>
        <w:tc>
          <w:tcPr>
            <w:tcW w:w="741"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政治面貌</w:t>
            </w:r>
          </w:p>
        </w:tc>
        <w:tc>
          <w:tcPr>
            <w:tcW w:w="1267" w:type="dxa"/>
            <w:vAlign w:val="center"/>
          </w:tcPr>
          <w:p>
            <w:pPr>
              <w:shd w:val="clear"/>
              <w:jc w:val="center"/>
              <w:rPr>
                <w:rFonts w:hint="default"/>
                <w:color w:val="auto"/>
                <w:sz w:val="24"/>
                <w:szCs w:val="24"/>
                <w:highlight w:val="none"/>
                <w:vertAlign w:val="baseline"/>
                <w:lang w:val="en-US" w:eastAsia="zh-CN"/>
              </w:rPr>
            </w:pPr>
          </w:p>
        </w:tc>
        <w:tc>
          <w:tcPr>
            <w:tcW w:w="1606" w:type="dxa"/>
            <w:vMerge w:val="restart"/>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824"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联系电话</w:t>
            </w:r>
          </w:p>
        </w:tc>
        <w:tc>
          <w:tcPr>
            <w:tcW w:w="2662" w:type="dxa"/>
            <w:gridSpan w:val="4"/>
            <w:vAlign w:val="center"/>
          </w:tcPr>
          <w:p>
            <w:pPr>
              <w:shd w:val="clear"/>
              <w:jc w:val="center"/>
              <w:rPr>
                <w:rFonts w:hint="default"/>
                <w:color w:val="auto"/>
                <w:sz w:val="24"/>
                <w:szCs w:val="24"/>
                <w:highlight w:val="none"/>
                <w:vertAlign w:val="baseline"/>
                <w:lang w:val="en-US" w:eastAsia="zh-CN"/>
              </w:rPr>
            </w:pPr>
          </w:p>
        </w:tc>
        <w:tc>
          <w:tcPr>
            <w:tcW w:w="79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生源地</w:t>
            </w:r>
          </w:p>
        </w:tc>
        <w:tc>
          <w:tcPr>
            <w:tcW w:w="1153" w:type="dxa"/>
            <w:vAlign w:val="center"/>
          </w:tcPr>
          <w:p>
            <w:pPr>
              <w:shd w:val="clear"/>
              <w:jc w:val="center"/>
              <w:rPr>
                <w:rFonts w:hint="default"/>
                <w:color w:val="auto"/>
                <w:sz w:val="24"/>
                <w:szCs w:val="24"/>
                <w:highlight w:val="none"/>
                <w:vertAlign w:val="baseline"/>
                <w:lang w:val="en-US" w:eastAsia="zh-CN"/>
              </w:rPr>
            </w:pPr>
          </w:p>
        </w:tc>
        <w:tc>
          <w:tcPr>
            <w:tcW w:w="741"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转出学院</w:t>
            </w:r>
          </w:p>
        </w:tc>
        <w:tc>
          <w:tcPr>
            <w:tcW w:w="1267" w:type="dxa"/>
            <w:vAlign w:val="center"/>
          </w:tcPr>
          <w:p>
            <w:pPr>
              <w:shd w:val="clear"/>
              <w:jc w:val="center"/>
              <w:rPr>
                <w:rFonts w:hint="default"/>
                <w:color w:val="auto"/>
                <w:sz w:val="24"/>
                <w:szCs w:val="24"/>
                <w:highlight w:val="none"/>
                <w:vertAlign w:val="baseline"/>
                <w:lang w:val="en-US" w:eastAsia="zh-CN"/>
              </w:rPr>
            </w:pPr>
          </w:p>
        </w:tc>
        <w:tc>
          <w:tcPr>
            <w:tcW w:w="1606" w:type="dxa"/>
            <w:vMerge w:val="continue"/>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4"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原专业</w:t>
            </w:r>
          </w:p>
        </w:tc>
        <w:tc>
          <w:tcPr>
            <w:tcW w:w="989" w:type="dxa"/>
            <w:vAlign w:val="center"/>
          </w:tcPr>
          <w:p>
            <w:pPr>
              <w:shd w:val="clear"/>
              <w:jc w:val="center"/>
              <w:rPr>
                <w:rFonts w:hint="default"/>
                <w:color w:val="auto"/>
                <w:sz w:val="24"/>
                <w:szCs w:val="24"/>
                <w:highlight w:val="none"/>
                <w:vertAlign w:val="baseline"/>
                <w:lang w:val="en-US" w:eastAsia="zh-CN"/>
              </w:rPr>
            </w:pPr>
          </w:p>
        </w:tc>
        <w:tc>
          <w:tcPr>
            <w:tcW w:w="1673" w:type="dxa"/>
            <w:gridSpan w:val="3"/>
            <w:vAlign w:val="center"/>
          </w:tcPr>
          <w:p>
            <w:pPr>
              <w:shd w:val="clear"/>
              <w:jc w:val="center"/>
              <w:rPr>
                <w:rFonts w:hint="default" w:ascii="Calibri" w:hAnsi="Calibri" w:eastAsia="宋体" w:cs="Times New Roman"/>
                <w:color w:val="auto"/>
                <w:kern w:val="2"/>
                <w:sz w:val="24"/>
                <w:szCs w:val="24"/>
                <w:highlight w:val="none"/>
                <w:vertAlign w:val="baseline"/>
                <w:lang w:val="en-US" w:eastAsia="zh-CN" w:bidi="ar-SA"/>
              </w:rPr>
            </w:pPr>
            <w:r>
              <w:rPr>
                <w:rFonts w:hint="eastAsia" w:cs="Times New Roman"/>
                <w:color w:val="auto"/>
                <w:kern w:val="2"/>
                <w:sz w:val="24"/>
                <w:szCs w:val="24"/>
                <w:highlight w:val="none"/>
                <w:vertAlign w:val="baseline"/>
                <w:lang w:val="en-US" w:eastAsia="zh-CN" w:bidi="ar-SA"/>
              </w:rPr>
              <w:t>年级班级</w:t>
            </w:r>
          </w:p>
        </w:tc>
        <w:tc>
          <w:tcPr>
            <w:tcW w:w="797" w:type="dxa"/>
            <w:vAlign w:val="center"/>
          </w:tcPr>
          <w:p>
            <w:pPr>
              <w:shd w:val="clear"/>
              <w:jc w:val="center"/>
              <w:rPr>
                <w:rFonts w:hint="default"/>
                <w:color w:val="auto"/>
                <w:sz w:val="24"/>
                <w:szCs w:val="24"/>
                <w:highlight w:val="none"/>
                <w:vertAlign w:val="baseline"/>
                <w:lang w:val="en-US" w:eastAsia="zh-CN"/>
              </w:rPr>
            </w:pPr>
          </w:p>
        </w:tc>
        <w:tc>
          <w:tcPr>
            <w:tcW w:w="1153"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学号</w:t>
            </w:r>
          </w:p>
        </w:tc>
        <w:tc>
          <w:tcPr>
            <w:tcW w:w="741" w:type="dxa"/>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高考成绩</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3486" w:type="dxa"/>
            <w:gridSpan w:val="5"/>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是否定向录取或特殊渠道招生</w:t>
            </w:r>
          </w:p>
        </w:tc>
        <w:tc>
          <w:tcPr>
            <w:tcW w:w="797" w:type="dxa"/>
            <w:vAlign w:val="center"/>
          </w:tcPr>
          <w:p>
            <w:pPr>
              <w:shd w:val="clear"/>
              <w:jc w:val="center"/>
              <w:rPr>
                <w:rFonts w:hint="default"/>
                <w:color w:val="auto"/>
                <w:sz w:val="24"/>
                <w:szCs w:val="24"/>
                <w:highlight w:val="none"/>
                <w:vertAlign w:val="baseline"/>
                <w:lang w:val="en-US" w:eastAsia="zh-CN"/>
              </w:rPr>
            </w:pPr>
          </w:p>
        </w:tc>
        <w:tc>
          <w:tcPr>
            <w:tcW w:w="1894" w:type="dxa"/>
            <w:gridSpan w:val="2"/>
            <w:vAlign w:val="center"/>
          </w:tcPr>
          <w:p>
            <w:pPr>
              <w:shd w:val="clear"/>
              <w:jc w:val="center"/>
              <w:rPr>
                <w:rFonts w:hint="default"/>
                <w:color w:val="auto"/>
                <w:sz w:val="24"/>
                <w:szCs w:val="24"/>
                <w:highlight w:val="none"/>
                <w:vertAlign w:val="baseline"/>
                <w:lang w:val="en-US" w:eastAsia="zh-CN"/>
              </w:rPr>
            </w:pPr>
            <w:r>
              <w:rPr>
                <w:rFonts w:hint="eastAsia" w:cs="Times New Roman"/>
                <w:color w:val="auto"/>
                <w:kern w:val="2"/>
                <w:sz w:val="24"/>
                <w:szCs w:val="24"/>
                <w:highlight w:val="none"/>
                <w:vertAlign w:val="baseline"/>
                <w:lang w:val="en-US" w:eastAsia="zh-CN" w:bidi="ar-SA"/>
              </w:rPr>
              <w:t>高考选考科目</w:t>
            </w:r>
          </w:p>
        </w:tc>
        <w:tc>
          <w:tcPr>
            <w:tcW w:w="2873" w:type="dxa"/>
            <w:gridSpan w:val="2"/>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4"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文科/理科</w:t>
            </w:r>
          </w:p>
        </w:tc>
        <w:tc>
          <w:tcPr>
            <w:tcW w:w="989" w:type="dxa"/>
            <w:vAlign w:val="center"/>
          </w:tcPr>
          <w:p>
            <w:pPr>
              <w:shd w:val="clear"/>
              <w:jc w:val="center"/>
              <w:rPr>
                <w:rFonts w:hint="default"/>
                <w:color w:val="auto"/>
                <w:sz w:val="24"/>
                <w:szCs w:val="24"/>
                <w:highlight w:val="none"/>
                <w:vertAlign w:val="baseline"/>
                <w:lang w:val="en-US" w:eastAsia="zh-CN"/>
              </w:rPr>
            </w:pPr>
          </w:p>
        </w:tc>
        <w:tc>
          <w:tcPr>
            <w:tcW w:w="1673" w:type="dxa"/>
            <w:gridSpan w:val="3"/>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申请转入专业</w:t>
            </w:r>
          </w:p>
        </w:tc>
        <w:tc>
          <w:tcPr>
            <w:tcW w:w="797" w:type="dxa"/>
            <w:vAlign w:val="center"/>
          </w:tcPr>
          <w:p>
            <w:pPr>
              <w:shd w:val="clear"/>
              <w:jc w:val="center"/>
              <w:rPr>
                <w:rFonts w:hint="default"/>
                <w:color w:val="auto"/>
                <w:sz w:val="24"/>
                <w:szCs w:val="24"/>
                <w:highlight w:val="none"/>
                <w:vertAlign w:val="baseline"/>
                <w:lang w:val="en-US" w:eastAsia="zh-CN"/>
              </w:rPr>
            </w:pPr>
          </w:p>
        </w:tc>
        <w:tc>
          <w:tcPr>
            <w:tcW w:w="1153"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CET4</w:t>
            </w:r>
          </w:p>
        </w:tc>
        <w:tc>
          <w:tcPr>
            <w:tcW w:w="741" w:type="dxa"/>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CET6</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86" w:type="dxa"/>
            <w:gridSpan w:val="5"/>
            <w:vAlign w:val="center"/>
          </w:tcPr>
          <w:p>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计算机一级/二级</w:t>
            </w:r>
          </w:p>
        </w:tc>
        <w:tc>
          <w:tcPr>
            <w:tcW w:w="797" w:type="dxa"/>
            <w:vAlign w:val="center"/>
          </w:tcPr>
          <w:p>
            <w:pPr>
              <w:shd w:val="clear"/>
              <w:jc w:val="center"/>
              <w:rPr>
                <w:rFonts w:hint="default"/>
                <w:color w:val="auto"/>
                <w:sz w:val="24"/>
                <w:szCs w:val="24"/>
                <w:highlight w:val="none"/>
                <w:vertAlign w:val="baseline"/>
                <w:lang w:val="en-US" w:eastAsia="zh-CN"/>
              </w:rPr>
            </w:pPr>
          </w:p>
        </w:tc>
        <w:tc>
          <w:tcPr>
            <w:tcW w:w="1153"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是否退役军人</w:t>
            </w:r>
          </w:p>
        </w:tc>
        <w:tc>
          <w:tcPr>
            <w:tcW w:w="741" w:type="dxa"/>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退役时间</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trPr>
        <w:tc>
          <w:tcPr>
            <w:tcW w:w="2309" w:type="dxa"/>
            <w:gridSpan w:val="3"/>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专业特长</w:t>
            </w:r>
          </w:p>
        </w:tc>
        <w:tc>
          <w:tcPr>
            <w:tcW w:w="3868" w:type="dxa"/>
            <w:gridSpan w:val="5"/>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2309" w:type="dxa"/>
            <w:gridSpan w:val="3"/>
            <w:vAlign w:val="center"/>
          </w:tcPr>
          <w:p>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英语四六级成绩</w:t>
            </w:r>
          </w:p>
        </w:tc>
        <w:tc>
          <w:tcPr>
            <w:tcW w:w="3868" w:type="dxa"/>
            <w:gridSpan w:val="5"/>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2309" w:type="dxa"/>
            <w:gridSpan w:val="3"/>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班级成绩排名</w:t>
            </w:r>
          </w:p>
        </w:tc>
        <w:tc>
          <w:tcPr>
            <w:tcW w:w="3868" w:type="dxa"/>
            <w:gridSpan w:val="5"/>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2309" w:type="dxa"/>
            <w:gridSpan w:val="3"/>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各类荣誉或奖励</w:t>
            </w:r>
          </w:p>
        </w:tc>
        <w:tc>
          <w:tcPr>
            <w:tcW w:w="3868" w:type="dxa"/>
            <w:gridSpan w:val="5"/>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2309" w:type="dxa"/>
            <w:gridSpan w:val="3"/>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文体特长</w:t>
            </w:r>
          </w:p>
        </w:tc>
        <w:tc>
          <w:tcPr>
            <w:tcW w:w="3868" w:type="dxa"/>
            <w:gridSpan w:val="5"/>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6177" w:type="dxa"/>
            <w:gridSpan w:val="8"/>
            <w:vAlign w:val="top"/>
          </w:tcPr>
          <w:p>
            <w:pPr>
              <w:shd w:val="clear"/>
              <w:jc w:val="both"/>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医学院专项成绩认定工作组签字：</w:t>
            </w: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认定得分</w:t>
            </w:r>
          </w:p>
        </w:tc>
        <w:tc>
          <w:tcPr>
            <w:tcW w:w="1606" w:type="dxa"/>
            <w:vAlign w:val="center"/>
          </w:tcPr>
          <w:p>
            <w:pPr>
              <w:shd w:val="clear"/>
              <w:jc w:val="center"/>
              <w:rPr>
                <w:rFonts w:hint="default"/>
                <w:color w:val="auto"/>
                <w:sz w:val="24"/>
                <w:szCs w:val="24"/>
                <w:highlight w:val="none"/>
                <w:vertAlign w:val="baseline"/>
                <w:lang w:val="en-US" w:eastAsia="zh-CN"/>
              </w:rPr>
            </w:pPr>
          </w:p>
        </w:tc>
      </w:tr>
    </w:tbl>
    <w:p>
      <w:pPr>
        <w:shd w:val="clear"/>
        <w:ind w:firstLine="420" w:firstLineChars="200"/>
        <w:rPr>
          <w:rFonts w:hint="default"/>
          <w:color w:val="auto"/>
          <w:highlight w:val="none"/>
          <w:lang w:val="en-US" w:eastAsia="zh-CN"/>
        </w:rPr>
      </w:pPr>
      <w:r>
        <w:rPr>
          <w:rFonts w:hint="eastAsia"/>
          <w:color w:val="auto"/>
          <w:highlight w:val="none"/>
          <w:lang w:val="en-US" w:eastAsia="zh-CN"/>
        </w:rPr>
        <w:t>说明：1.相关证明材料请附原件或复印件，复印件应由原学院予以审核盖章；2.如为定向录取或特殊渠道招生的需如实填报，否则后果自负！</w:t>
      </w:r>
    </w:p>
    <w:p>
      <w:pPr>
        <w:shd w:val="clear"/>
        <w:rPr>
          <w:rFonts w:hint="default" w:eastAsiaTheme="minorEastAsia"/>
          <w:color w:val="auto"/>
          <w:highlight w:val="none"/>
          <w:lang w:val="en-US" w:eastAsia="zh-CN"/>
        </w:rPr>
      </w:pPr>
      <w:r>
        <w:rPr>
          <w:rFonts w:hint="eastAsia"/>
          <w:color w:val="auto"/>
          <w:highlight w:val="none"/>
          <w:lang w:val="en-US" w:eastAsia="zh-CN"/>
        </w:rPr>
        <w:t xml:space="preserve">                                                        认定后学生确认签字：</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3708846-5234-4367-9351-4B7205EFC560}"/>
  </w:font>
  <w:font w:name="黑体">
    <w:panose1 w:val="02010609060101010101"/>
    <w:charset w:val="86"/>
    <w:family w:val="auto"/>
    <w:pitch w:val="default"/>
    <w:sig w:usb0="800002BF" w:usb1="38CF7CFA" w:usb2="00000016" w:usb3="00000000" w:csb0="00040001" w:csb1="00000000"/>
    <w:embedRegular r:id="rId2" w:fontKey="{648E702B-4051-405D-8568-4000393A4E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4533A5E-5EAD-4866-B0F7-29F011222FD3}"/>
  </w:font>
  <w:font w:name="仿宋">
    <w:panose1 w:val="02010609060101010101"/>
    <w:charset w:val="86"/>
    <w:family w:val="modern"/>
    <w:pitch w:val="default"/>
    <w:sig w:usb0="800002BF" w:usb1="38CF7CFA" w:usb2="00000016" w:usb3="00000000" w:csb0="00040001" w:csb1="00000000"/>
    <w:embedRegular r:id="rId4" w:fontKey="{68FDDD4C-6A20-43E0-8688-AE73BBEFADE4}"/>
  </w:font>
  <w:font w:name="方正仿宋_GB2312">
    <w:altName w:val="仿宋"/>
    <w:panose1 w:val="02000000000000000000"/>
    <w:charset w:val="86"/>
    <w:family w:val="auto"/>
    <w:pitch w:val="default"/>
    <w:sig w:usb0="00000000" w:usb1="00000000" w:usb2="00000012" w:usb3="00000000" w:csb0="00040001" w:csb1="00000000"/>
    <w:embedRegular r:id="rId5" w:fontKey="{BE406555-C1C9-4E2D-8161-53D8700B7713}"/>
  </w:font>
  <w:font w:name="仿宋_GB2312">
    <w:panose1 w:val="02010609030101010101"/>
    <w:charset w:val="86"/>
    <w:family w:val="modern"/>
    <w:pitch w:val="default"/>
    <w:sig w:usb0="00000001" w:usb1="080E0000" w:usb2="00000000" w:usb3="00000000" w:csb0="00040000" w:csb1="00000000"/>
    <w:embedRegular r:id="rId6" w:fontKey="{1CF42511-E9DE-4733-9DA5-06191E8F7A08}"/>
  </w:font>
  <w:font w:name="方正楷体_GB2312">
    <w:altName w:val="楷体_GB2312"/>
    <w:panose1 w:val="02000000000000000000"/>
    <w:charset w:val="86"/>
    <w:family w:val="auto"/>
    <w:pitch w:val="default"/>
    <w:sig w:usb0="00000000" w:usb1="00000000" w:usb2="00000012" w:usb3="00000000" w:csb0="00040001" w:csb1="00000000"/>
    <w:embedRegular r:id="rId7" w:fontKey="{2E2810BD-3E95-4244-9141-5F384069EA3C}"/>
  </w:font>
  <w:font w:name="楷体">
    <w:panose1 w:val="02010609060101010101"/>
    <w:charset w:val="86"/>
    <w:family w:val="auto"/>
    <w:pitch w:val="default"/>
    <w:sig w:usb0="800002BF" w:usb1="38CF7CFA" w:usb2="00000016" w:usb3="00000000" w:csb0="00040001" w:csb1="00000000"/>
    <w:embedRegular r:id="rId8" w:fontKey="{40F136C9-47A4-42E5-AA3B-42BFF617F99D}"/>
  </w:font>
  <w:font w:name="方正小标宋简体">
    <w:panose1 w:val="03000509000000000000"/>
    <w:charset w:val="86"/>
    <w:family w:val="auto"/>
    <w:pitch w:val="default"/>
    <w:sig w:usb0="00000001" w:usb1="080E0000" w:usb2="00000000" w:usb3="00000000" w:csb0="00040000" w:csb1="00000000"/>
    <w:embedRegular r:id="rId9" w:fontKey="{8D8F7F56-5C54-4ADB-B3F0-BBBBDBC2CF78}"/>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259B"/>
    <w:multiLevelType w:val="singleLevel"/>
    <w:tmpl w:val="0E6425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MmUwZDE2OWY2YmU2NmU2NGFiZjQyMGJmYzc4MDUifQ=="/>
  </w:docVars>
  <w:rsids>
    <w:rsidRoot w:val="00172A27"/>
    <w:rsid w:val="00016025"/>
    <w:rsid w:val="000224D6"/>
    <w:rsid w:val="0003402B"/>
    <w:rsid w:val="00037FD5"/>
    <w:rsid w:val="000425A9"/>
    <w:rsid w:val="00045A39"/>
    <w:rsid w:val="000510DA"/>
    <w:rsid w:val="000520B4"/>
    <w:rsid w:val="00084BDD"/>
    <w:rsid w:val="000B3B58"/>
    <w:rsid w:val="000D749E"/>
    <w:rsid w:val="000E5238"/>
    <w:rsid w:val="000F1092"/>
    <w:rsid w:val="00107AEF"/>
    <w:rsid w:val="00113332"/>
    <w:rsid w:val="00115D9A"/>
    <w:rsid w:val="00147344"/>
    <w:rsid w:val="00154023"/>
    <w:rsid w:val="00174592"/>
    <w:rsid w:val="001814A6"/>
    <w:rsid w:val="001A6588"/>
    <w:rsid w:val="001B0EB7"/>
    <w:rsid w:val="001B40E1"/>
    <w:rsid w:val="001B784A"/>
    <w:rsid w:val="001C0013"/>
    <w:rsid w:val="001D10EF"/>
    <w:rsid w:val="001E4BFD"/>
    <w:rsid w:val="001F1026"/>
    <w:rsid w:val="002108F9"/>
    <w:rsid w:val="002366FD"/>
    <w:rsid w:val="00243160"/>
    <w:rsid w:val="00271A8B"/>
    <w:rsid w:val="002729AD"/>
    <w:rsid w:val="002B636A"/>
    <w:rsid w:val="002C7C2E"/>
    <w:rsid w:val="002D340C"/>
    <w:rsid w:val="002E1735"/>
    <w:rsid w:val="002F7F1A"/>
    <w:rsid w:val="003051AF"/>
    <w:rsid w:val="00381B07"/>
    <w:rsid w:val="00396509"/>
    <w:rsid w:val="003B0183"/>
    <w:rsid w:val="003B3DCD"/>
    <w:rsid w:val="003B6240"/>
    <w:rsid w:val="003C09BC"/>
    <w:rsid w:val="003E670F"/>
    <w:rsid w:val="003F0788"/>
    <w:rsid w:val="0040532E"/>
    <w:rsid w:val="00432E13"/>
    <w:rsid w:val="004336CF"/>
    <w:rsid w:val="00441D74"/>
    <w:rsid w:val="00456814"/>
    <w:rsid w:val="00463C0A"/>
    <w:rsid w:val="004707C0"/>
    <w:rsid w:val="00472399"/>
    <w:rsid w:val="00474077"/>
    <w:rsid w:val="00486E87"/>
    <w:rsid w:val="005005A6"/>
    <w:rsid w:val="005109DB"/>
    <w:rsid w:val="0051218B"/>
    <w:rsid w:val="00513177"/>
    <w:rsid w:val="005131BF"/>
    <w:rsid w:val="00520710"/>
    <w:rsid w:val="00544DA4"/>
    <w:rsid w:val="0056476A"/>
    <w:rsid w:val="0059064C"/>
    <w:rsid w:val="005A6068"/>
    <w:rsid w:val="005C1D00"/>
    <w:rsid w:val="005C51F6"/>
    <w:rsid w:val="005D3525"/>
    <w:rsid w:val="006258DD"/>
    <w:rsid w:val="006323F3"/>
    <w:rsid w:val="0064527C"/>
    <w:rsid w:val="00645D7D"/>
    <w:rsid w:val="00651869"/>
    <w:rsid w:val="00673CEB"/>
    <w:rsid w:val="00697C06"/>
    <w:rsid w:val="006B10D2"/>
    <w:rsid w:val="006B502B"/>
    <w:rsid w:val="006B6D1F"/>
    <w:rsid w:val="006D19B9"/>
    <w:rsid w:val="006D4811"/>
    <w:rsid w:val="006D594D"/>
    <w:rsid w:val="006D6188"/>
    <w:rsid w:val="006F038D"/>
    <w:rsid w:val="007075DD"/>
    <w:rsid w:val="007115F1"/>
    <w:rsid w:val="00734FE2"/>
    <w:rsid w:val="00751604"/>
    <w:rsid w:val="00761A79"/>
    <w:rsid w:val="0079625D"/>
    <w:rsid w:val="007D183E"/>
    <w:rsid w:val="007F2AD6"/>
    <w:rsid w:val="00813F79"/>
    <w:rsid w:val="00815895"/>
    <w:rsid w:val="00824691"/>
    <w:rsid w:val="00833B15"/>
    <w:rsid w:val="008345DC"/>
    <w:rsid w:val="0084494F"/>
    <w:rsid w:val="0088279F"/>
    <w:rsid w:val="008B12E8"/>
    <w:rsid w:val="008B36F4"/>
    <w:rsid w:val="008C4704"/>
    <w:rsid w:val="008C4F7E"/>
    <w:rsid w:val="008F3EB0"/>
    <w:rsid w:val="00925CD0"/>
    <w:rsid w:val="00933A28"/>
    <w:rsid w:val="00971229"/>
    <w:rsid w:val="009752C7"/>
    <w:rsid w:val="00984250"/>
    <w:rsid w:val="009867AD"/>
    <w:rsid w:val="009B0C1F"/>
    <w:rsid w:val="009B7F8C"/>
    <w:rsid w:val="009D7DD0"/>
    <w:rsid w:val="009E331E"/>
    <w:rsid w:val="009E5183"/>
    <w:rsid w:val="009F3BE7"/>
    <w:rsid w:val="00A2356D"/>
    <w:rsid w:val="00A324CC"/>
    <w:rsid w:val="00A332AC"/>
    <w:rsid w:val="00A47B99"/>
    <w:rsid w:val="00A64CD5"/>
    <w:rsid w:val="00A85D18"/>
    <w:rsid w:val="00A94AAA"/>
    <w:rsid w:val="00A97814"/>
    <w:rsid w:val="00AD63A2"/>
    <w:rsid w:val="00AE3748"/>
    <w:rsid w:val="00B20D99"/>
    <w:rsid w:val="00B22BA0"/>
    <w:rsid w:val="00B45E81"/>
    <w:rsid w:val="00B654D5"/>
    <w:rsid w:val="00B716E3"/>
    <w:rsid w:val="00B72228"/>
    <w:rsid w:val="00B96D55"/>
    <w:rsid w:val="00B96E69"/>
    <w:rsid w:val="00BB3DC7"/>
    <w:rsid w:val="00BC497B"/>
    <w:rsid w:val="00BD47F1"/>
    <w:rsid w:val="00BD7AC9"/>
    <w:rsid w:val="00BE2061"/>
    <w:rsid w:val="00BE6A67"/>
    <w:rsid w:val="00BE7393"/>
    <w:rsid w:val="00BE7535"/>
    <w:rsid w:val="00BF1A5B"/>
    <w:rsid w:val="00C52324"/>
    <w:rsid w:val="00C52A43"/>
    <w:rsid w:val="00C64D91"/>
    <w:rsid w:val="00C72CA1"/>
    <w:rsid w:val="00C735B9"/>
    <w:rsid w:val="00C75066"/>
    <w:rsid w:val="00CC6E25"/>
    <w:rsid w:val="00CD2857"/>
    <w:rsid w:val="00CE69CD"/>
    <w:rsid w:val="00CE7A44"/>
    <w:rsid w:val="00CF7C7A"/>
    <w:rsid w:val="00D0761E"/>
    <w:rsid w:val="00D14658"/>
    <w:rsid w:val="00D1536C"/>
    <w:rsid w:val="00D21CC5"/>
    <w:rsid w:val="00D24FAB"/>
    <w:rsid w:val="00D36424"/>
    <w:rsid w:val="00D5253F"/>
    <w:rsid w:val="00D53DC3"/>
    <w:rsid w:val="00D54AD7"/>
    <w:rsid w:val="00D96BE8"/>
    <w:rsid w:val="00DA0A2E"/>
    <w:rsid w:val="00DA1B9C"/>
    <w:rsid w:val="00DC19CB"/>
    <w:rsid w:val="00DC5CD1"/>
    <w:rsid w:val="00DF2345"/>
    <w:rsid w:val="00E06410"/>
    <w:rsid w:val="00E23F9A"/>
    <w:rsid w:val="00E6028C"/>
    <w:rsid w:val="00E60B99"/>
    <w:rsid w:val="00E6176C"/>
    <w:rsid w:val="00E977BA"/>
    <w:rsid w:val="00EA058C"/>
    <w:rsid w:val="00EB0581"/>
    <w:rsid w:val="00EB64FF"/>
    <w:rsid w:val="00EF2668"/>
    <w:rsid w:val="00F00F2D"/>
    <w:rsid w:val="00F06079"/>
    <w:rsid w:val="00F0610F"/>
    <w:rsid w:val="00F3648C"/>
    <w:rsid w:val="00FA1343"/>
    <w:rsid w:val="00FD2D76"/>
    <w:rsid w:val="00FF4AC3"/>
    <w:rsid w:val="00FF6D03"/>
    <w:rsid w:val="01F80A87"/>
    <w:rsid w:val="0658018B"/>
    <w:rsid w:val="07A44F6D"/>
    <w:rsid w:val="0AB614DF"/>
    <w:rsid w:val="0B664CB3"/>
    <w:rsid w:val="0E2E3454"/>
    <w:rsid w:val="0F026F92"/>
    <w:rsid w:val="10F43F05"/>
    <w:rsid w:val="116021A5"/>
    <w:rsid w:val="127F48AC"/>
    <w:rsid w:val="15521E43"/>
    <w:rsid w:val="159643E7"/>
    <w:rsid w:val="17087546"/>
    <w:rsid w:val="17A34B99"/>
    <w:rsid w:val="186703DE"/>
    <w:rsid w:val="1A5D3725"/>
    <w:rsid w:val="1A7647E7"/>
    <w:rsid w:val="20517754"/>
    <w:rsid w:val="20880DD0"/>
    <w:rsid w:val="209479E7"/>
    <w:rsid w:val="23193791"/>
    <w:rsid w:val="23BC28F3"/>
    <w:rsid w:val="23CB16FF"/>
    <w:rsid w:val="24101808"/>
    <w:rsid w:val="246D27B7"/>
    <w:rsid w:val="257047DF"/>
    <w:rsid w:val="26881D74"/>
    <w:rsid w:val="270A5711"/>
    <w:rsid w:val="2DE81100"/>
    <w:rsid w:val="2E7F3812"/>
    <w:rsid w:val="317E24A7"/>
    <w:rsid w:val="331309CD"/>
    <w:rsid w:val="332130EA"/>
    <w:rsid w:val="334E5EA9"/>
    <w:rsid w:val="373877D4"/>
    <w:rsid w:val="379C65CA"/>
    <w:rsid w:val="38F70181"/>
    <w:rsid w:val="3AAB4F70"/>
    <w:rsid w:val="3B624C93"/>
    <w:rsid w:val="3B7972AF"/>
    <w:rsid w:val="3BC74A4B"/>
    <w:rsid w:val="3BE63123"/>
    <w:rsid w:val="3FB157F6"/>
    <w:rsid w:val="3FFB4CC3"/>
    <w:rsid w:val="40C15F0C"/>
    <w:rsid w:val="41FC49FF"/>
    <w:rsid w:val="421B1EDD"/>
    <w:rsid w:val="42AA2BF4"/>
    <w:rsid w:val="43B6162D"/>
    <w:rsid w:val="471D19C3"/>
    <w:rsid w:val="48975F24"/>
    <w:rsid w:val="4C912C37"/>
    <w:rsid w:val="4F2558B8"/>
    <w:rsid w:val="4FD74E04"/>
    <w:rsid w:val="50566671"/>
    <w:rsid w:val="50E23BC7"/>
    <w:rsid w:val="525C7843"/>
    <w:rsid w:val="530C3017"/>
    <w:rsid w:val="5355273B"/>
    <w:rsid w:val="561C197B"/>
    <w:rsid w:val="593212FE"/>
    <w:rsid w:val="59F25839"/>
    <w:rsid w:val="5BC052E6"/>
    <w:rsid w:val="5C050F4B"/>
    <w:rsid w:val="5C2E17CA"/>
    <w:rsid w:val="5D375134"/>
    <w:rsid w:val="5D5E6ABF"/>
    <w:rsid w:val="5DEB6C20"/>
    <w:rsid w:val="62AF1C11"/>
    <w:rsid w:val="65B33A6C"/>
    <w:rsid w:val="675D5FDD"/>
    <w:rsid w:val="68CF4DBB"/>
    <w:rsid w:val="696F20FA"/>
    <w:rsid w:val="69FC398E"/>
    <w:rsid w:val="6A383204"/>
    <w:rsid w:val="6BC47A19"/>
    <w:rsid w:val="6C0407D9"/>
    <w:rsid w:val="6D875A4F"/>
    <w:rsid w:val="6DD24A05"/>
    <w:rsid w:val="703923C4"/>
    <w:rsid w:val="720535FB"/>
    <w:rsid w:val="72181581"/>
    <w:rsid w:val="72DF3E4C"/>
    <w:rsid w:val="73BB0416"/>
    <w:rsid w:val="74176BDB"/>
    <w:rsid w:val="754601B3"/>
    <w:rsid w:val="75B9571C"/>
    <w:rsid w:val="76D17F50"/>
    <w:rsid w:val="77161E07"/>
    <w:rsid w:val="7B084AEB"/>
    <w:rsid w:val="7BC97448"/>
    <w:rsid w:val="7D3D00ED"/>
    <w:rsid w:val="7D7653AD"/>
    <w:rsid w:val="7D945BC1"/>
    <w:rsid w:val="7F0E6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basedOn w:val="7"/>
    <w:link w:val="3"/>
    <w:semiHidden/>
    <w:qFormat/>
    <w:uiPriority w:val="99"/>
    <w:rPr>
      <w:sz w:val="18"/>
      <w:szCs w:val="18"/>
    </w:rPr>
  </w:style>
  <w:style w:type="character" w:customStyle="1" w:styleId="13">
    <w:name w:val="页眉 Char"/>
    <w:basedOn w:val="7"/>
    <w:link w:val="5"/>
    <w:semiHidden/>
    <w:qFormat/>
    <w:uiPriority w:val="99"/>
    <w:rPr>
      <w:sz w:val="18"/>
      <w:szCs w:val="18"/>
    </w:rPr>
  </w:style>
  <w:style w:type="character" w:customStyle="1" w:styleId="14">
    <w:name w:val="页脚 Char"/>
    <w:basedOn w:val="7"/>
    <w:link w:val="4"/>
    <w:semiHidden/>
    <w:qFormat/>
    <w:uiPriority w:val="99"/>
    <w:rPr>
      <w:sz w:val="18"/>
      <w:szCs w:val="18"/>
    </w:rPr>
  </w:style>
  <w:style w:type="character" w:customStyle="1" w:styleId="15">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02127-F599-4544-9F71-C2CFD5BCF479}">
  <ds:schemaRefs/>
</ds:datastoreItem>
</file>

<file path=docProps/app.xml><?xml version="1.0" encoding="utf-8"?>
<Properties xmlns="http://schemas.openxmlformats.org/officeDocument/2006/extended-properties" xmlns:vt="http://schemas.openxmlformats.org/officeDocument/2006/docPropsVTypes">
  <Template>Normal.dotm</Template>
  <Company>jwc</Company>
  <Pages>11</Pages>
  <Words>3136</Words>
  <Characters>3479</Characters>
  <Lines>4</Lines>
  <Paragraphs>1</Paragraphs>
  <TotalTime>0</TotalTime>
  <ScaleCrop>false</ScaleCrop>
  <LinksUpToDate>false</LinksUpToDate>
  <CharactersWithSpaces>3580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2023-12-25T05:07:00Z</dcterms:created>
  <dc:creator>于淘</dc:creator>
  <cp:lastModifiedBy>Administrator</cp:lastModifiedBy>
  <cp:lastPrinted>2023-12-25T04:03:00Z</cp:lastPrinted>
  <dcterms:modified xsi:type="dcterms:W3CDTF">2025-12-24T03:10:33Z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428F96A77E08464895CCBFA42C1324C9_13</vt:lpwstr>
  </property>
  <property fmtid="{D5CDD505-2E9C-101B-9397-08002B2CF9AE}" pid="4" name="KSOTemplateDocerSaveRecord">
    <vt:lpwstr>eyJoZGlkIjoiNjY1YTdjZDIyYTc0NmM3M2EwN2NhNWNiNTAyMTY5YWMiLCJ1c2VySWQiOiIxNTg4MzQ1MDQ2In0=</vt:lpwstr>
  </property>
</Properties>
</file>